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16" w:rsidRPr="00DF55E8" w:rsidRDefault="00676D16" w:rsidP="00676D16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643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</w:t>
      </w:r>
      <w:r w:rsidR="00DF55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DF55E8">
        <w:rPr>
          <w:rFonts w:ascii="Times New Roman" w:eastAsia="Times New Roman" w:hAnsi="Times New Roman" w:cs="Times New Roman"/>
          <w:bCs/>
          <w:sz w:val="28"/>
          <w:szCs w:val="28"/>
        </w:rPr>
        <w:t>ЗАТВЕРДЖ</w:t>
      </w:r>
      <w:r w:rsidR="00DF55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ЕНО</w:t>
      </w:r>
    </w:p>
    <w:p w:rsidR="00DF55E8" w:rsidRDefault="00DF55E8" w:rsidP="00DF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</w:t>
      </w:r>
      <w:r w:rsidR="00A5738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DF5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педагогічною радою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ЗЗСО І-ІІІ ст.з ДВ</w:t>
      </w:r>
    </w:p>
    <w:p w:rsidR="00DF55E8" w:rsidRDefault="00DF55E8" w:rsidP="00DF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A573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№11с.Чорний Острів</w:t>
      </w:r>
    </w:p>
    <w:p w:rsidR="00A57387" w:rsidRDefault="00A57387" w:rsidP="00DF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Голова педагогічної ради                </w:t>
      </w:r>
    </w:p>
    <w:p w:rsidR="00A57387" w:rsidRPr="00A643B4" w:rsidRDefault="00A57387" w:rsidP="00DF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Н.П.Макогін   </w:t>
      </w:r>
    </w:p>
    <w:p w:rsidR="00DF55E8" w:rsidRPr="00A643B4" w:rsidRDefault="00DF55E8" w:rsidP="00DF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№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 р.</w:t>
      </w:r>
      <w:r w:rsidRPr="000D7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6D16" w:rsidRDefault="00676D16" w:rsidP="00676D16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uk-UA" w:eastAsia="ru-RU"/>
        </w:rPr>
      </w:pPr>
    </w:p>
    <w:p w:rsidR="00A643B4" w:rsidRDefault="00676D16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  <w:t xml:space="preserve">                             </w:t>
      </w:r>
    </w:p>
    <w:p w:rsidR="00676D16" w:rsidRPr="00A643B4" w:rsidRDefault="00A643B4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4F5054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  <w:t xml:space="preserve">                            </w:t>
      </w:r>
      <w:r w:rsidR="00676D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  <w:t xml:space="preserve"> </w:t>
      </w:r>
      <w:r w:rsidR="00676D16" w:rsidRPr="00A643B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ПОЛОЖЕННЯ</w:t>
      </w:r>
    </w:p>
    <w:p w:rsidR="00676D16" w:rsidRPr="00A643B4" w:rsidRDefault="00676D16" w:rsidP="00676D16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  <w:t xml:space="preserve">             </w:t>
      </w:r>
      <w:r w:rsidRPr="00A643B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 xml:space="preserve">про академічну доброчесність </w:t>
      </w:r>
    </w:p>
    <w:p w:rsidR="00676D16" w:rsidRPr="00676D16" w:rsidRDefault="00676D16" w:rsidP="00676D16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val="uk-UA" w:eastAsia="ru-RU"/>
        </w:rPr>
      </w:pPr>
      <w:r w:rsidRPr="00A643B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учасників</w:t>
      </w:r>
      <w:r w:rsidRPr="00A643B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uk-UA" w:eastAsia="ru-RU"/>
        </w:rPr>
        <w:t xml:space="preserve"> </w:t>
      </w:r>
      <w:r w:rsidRPr="00A643B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освітнього</w:t>
      </w:r>
      <w:r w:rsidRPr="00A643B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val="uk-UA" w:eastAsia="ru-RU"/>
        </w:rPr>
        <w:t xml:space="preserve"> </w:t>
      </w:r>
      <w:r w:rsidRPr="00A643B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процесу</w:t>
      </w:r>
      <w:r w:rsidRPr="00676D1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/>
      </w:r>
    </w:p>
    <w:p w:rsidR="00676D16" w:rsidRDefault="00676D16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6D16" w:rsidRDefault="00676D16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6D16" w:rsidRDefault="00676D16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643B4" w:rsidRDefault="00A643B4" w:rsidP="00676D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7387" w:rsidRDefault="00A57387" w:rsidP="00676D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7387" w:rsidRDefault="00A57387" w:rsidP="00676D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6D16" w:rsidRPr="000D7F50" w:rsidRDefault="00676D16" w:rsidP="00676D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F50">
        <w:rPr>
          <w:rFonts w:ascii="Times New Roman" w:hAnsi="Times New Roman" w:cs="Times New Roman"/>
          <w:sz w:val="28"/>
          <w:szCs w:val="28"/>
        </w:rPr>
        <w:t>Надано чинності та введено в дію</w:t>
      </w:r>
    </w:p>
    <w:p w:rsidR="00A57387" w:rsidRDefault="00676D16" w:rsidP="00676D16">
      <w:pPr>
        <w:tabs>
          <w:tab w:val="left" w:pos="411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7F50">
        <w:rPr>
          <w:rFonts w:ascii="Times New Roman" w:hAnsi="Times New Roman" w:cs="Times New Roman"/>
          <w:sz w:val="28"/>
          <w:szCs w:val="28"/>
        </w:rPr>
        <w:t xml:space="preserve">Наказ № </w:t>
      </w:r>
      <w:r w:rsidR="00A643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435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-о</w:t>
      </w:r>
      <w:r w:rsidR="00A643B4">
        <w:rPr>
          <w:rFonts w:ascii="Times New Roman" w:hAnsi="Times New Roman" w:cs="Times New Roman"/>
          <w:sz w:val="28"/>
          <w:szCs w:val="28"/>
        </w:rPr>
        <w:t xml:space="preserve">  від </w:t>
      </w:r>
      <w:r w:rsidR="00DB274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A643B4">
        <w:rPr>
          <w:rFonts w:ascii="Times New Roman" w:hAnsi="Times New Roman" w:cs="Times New Roman"/>
          <w:sz w:val="28"/>
          <w:szCs w:val="28"/>
        </w:rPr>
        <w:t>.0</w:t>
      </w:r>
      <w:r w:rsidR="00A643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43B4">
        <w:rPr>
          <w:rFonts w:ascii="Times New Roman" w:hAnsi="Times New Roman" w:cs="Times New Roman"/>
          <w:sz w:val="28"/>
          <w:szCs w:val="28"/>
        </w:rPr>
        <w:t>.202</w:t>
      </w:r>
      <w:r w:rsidR="00A643B4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0D7F50">
        <w:rPr>
          <w:rFonts w:ascii="Times New Roman" w:hAnsi="Times New Roman" w:cs="Times New Roman"/>
          <w:sz w:val="28"/>
          <w:szCs w:val="28"/>
        </w:rPr>
        <w:t>р.</w:t>
      </w:r>
    </w:p>
    <w:p w:rsidR="00676D16" w:rsidRPr="000D7F50" w:rsidRDefault="00A57387" w:rsidP="00676D16">
      <w:pPr>
        <w:tabs>
          <w:tab w:val="left" w:pos="41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закладу                       Н.П.Макогін</w:t>
      </w:r>
      <w:r w:rsidR="00676D16">
        <w:rPr>
          <w:rFonts w:ascii="Times New Roman" w:hAnsi="Times New Roman" w:cs="Times New Roman"/>
          <w:sz w:val="28"/>
          <w:szCs w:val="28"/>
        </w:rPr>
        <w:tab/>
      </w:r>
    </w:p>
    <w:p w:rsidR="00676D16" w:rsidRDefault="00676D16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6D16" w:rsidRDefault="00676D16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6D16" w:rsidRDefault="00676D16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6D16" w:rsidRDefault="00676D16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6D16" w:rsidRDefault="00676D16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57387" w:rsidRDefault="00A643B4" w:rsidP="00A64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</w:t>
      </w:r>
      <w:r w:rsidRPr="008943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</w:p>
    <w:p w:rsidR="00A57387" w:rsidRDefault="00A57387" w:rsidP="00A64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A643B4" w:rsidRPr="00894359" w:rsidRDefault="00A57387" w:rsidP="00A64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                                              </w:t>
      </w:r>
      <w:r w:rsidR="00A643B4" w:rsidRPr="008943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с.Чорний Острів</w:t>
      </w:r>
    </w:p>
    <w:p w:rsidR="00A643B4" w:rsidRPr="00A643B4" w:rsidRDefault="00A643B4" w:rsidP="00A64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943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</w:t>
      </w:r>
      <w:r w:rsidRPr="00A643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943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202</w:t>
      </w:r>
      <w:r w:rsidRPr="00A643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</w:p>
    <w:p w:rsidR="00676D16" w:rsidRPr="00D64B2B" w:rsidRDefault="00F1347E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4B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1.ЗАГАЛЬНІ ПОЛОЖЕННЯ</w:t>
      </w:r>
    </w:p>
    <w:p w:rsidR="00456ECF" w:rsidRPr="00456ECF" w:rsidRDefault="00456ECF" w:rsidP="00456EC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6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Положення про дотримання академічної доброчесності (далі - Положення) у</w:t>
      </w:r>
      <w:r w:rsidRPr="00A643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aps/>
          <w:lang w:val="uk-UA"/>
        </w:rPr>
        <w:t xml:space="preserve">Комунальному </w:t>
      </w:r>
      <w:r w:rsidRPr="00A643B4">
        <w:rPr>
          <w:rFonts w:ascii="Times New Roman" w:hAnsi="Times New Roman" w:cs="Times New Roman"/>
          <w:caps/>
          <w:lang w:val="uk-UA"/>
        </w:rPr>
        <w:t>заклад</w:t>
      </w:r>
      <w:r>
        <w:rPr>
          <w:rFonts w:ascii="Times New Roman" w:hAnsi="Times New Roman" w:cs="Times New Roman"/>
          <w:caps/>
          <w:lang w:val="uk-UA"/>
        </w:rPr>
        <w:t xml:space="preserve">і </w:t>
      </w:r>
      <w:r w:rsidRPr="00A643B4">
        <w:rPr>
          <w:rFonts w:ascii="Times New Roman" w:hAnsi="Times New Roman" w:cs="Times New Roman"/>
          <w:caps/>
          <w:lang w:val="uk-UA"/>
        </w:rPr>
        <w:t xml:space="preserve"> загальної середньої освіти І-ІІІ ступенів з дошкільним відділенням Ходорівської міської ради Львівської області №</w:t>
      </w:r>
      <w:r w:rsidR="00E96A43">
        <w:rPr>
          <w:rFonts w:ascii="Times New Roman" w:hAnsi="Times New Roman" w:cs="Times New Roman"/>
          <w:caps/>
          <w:lang w:val="uk-UA"/>
        </w:rPr>
        <w:t xml:space="preserve"> </w:t>
      </w:r>
      <w:r w:rsidRPr="00A643B4">
        <w:rPr>
          <w:rFonts w:ascii="Times New Roman" w:hAnsi="Times New Roman" w:cs="Times New Roman"/>
          <w:caps/>
          <w:lang w:val="uk-UA"/>
        </w:rPr>
        <w:t>11 с.Чорний Острів</w:t>
      </w:r>
      <w:r w:rsidRPr="00456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</w:t>
      </w:r>
      <w:r>
        <w:rPr>
          <w:rFonts w:ascii="Times New Roman" w:hAnsi="Times New Roman" w:cs="Times New Roman"/>
          <w:caps/>
          <w:lang w:val="uk-UA"/>
        </w:rPr>
        <w:t xml:space="preserve">ЗЗСО </w:t>
      </w:r>
      <w:r w:rsidRPr="0038326E">
        <w:rPr>
          <w:rFonts w:ascii="Times New Roman" w:hAnsi="Times New Roman" w:cs="Times New Roman"/>
          <w:caps/>
          <w:lang w:val="uk-UA"/>
        </w:rPr>
        <w:t>І-ІІІ</w:t>
      </w:r>
      <w:r>
        <w:rPr>
          <w:rFonts w:ascii="Times New Roman" w:hAnsi="Times New Roman" w:cs="Times New Roman"/>
          <w:caps/>
          <w:lang w:val="uk-UA"/>
        </w:rPr>
        <w:t xml:space="preserve"> </w:t>
      </w:r>
      <w:r w:rsidRPr="0038326E">
        <w:rPr>
          <w:rFonts w:ascii="Times New Roman" w:hAnsi="Times New Roman" w:cs="Times New Roman"/>
          <w:caps/>
          <w:lang w:val="uk-UA"/>
        </w:rPr>
        <w:t xml:space="preserve">ст. </w:t>
      </w:r>
      <w:r w:rsidRPr="00456ECF">
        <w:rPr>
          <w:rFonts w:ascii="Times New Roman" w:hAnsi="Times New Roman" w:cs="Times New Roman"/>
          <w:caps/>
          <w:lang w:val="uk-UA"/>
        </w:rPr>
        <w:t>з ДВ №</w:t>
      </w:r>
      <w:r w:rsidR="00E96A43">
        <w:rPr>
          <w:rFonts w:ascii="Times New Roman" w:hAnsi="Times New Roman" w:cs="Times New Roman"/>
          <w:caps/>
          <w:lang w:val="uk-UA"/>
        </w:rPr>
        <w:t xml:space="preserve"> </w:t>
      </w:r>
      <w:r w:rsidRPr="00456ECF">
        <w:rPr>
          <w:rFonts w:ascii="Times New Roman" w:hAnsi="Times New Roman" w:cs="Times New Roman"/>
          <w:caps/>
          <w:lang w:val="uk-UA"/>
        </w:rPr>
        <w:t>11 с.Чорний Острів</w:t>
      </w:r>
      <w:r w:rsidRPr="00456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 встановлює норми та правила етичної поведінки, професійного спілкування у відносинах між учасниками освітнього процесу, а саме: педагогічними працівниками, здобувачами освіти та їх батьками чи особами, які їх заміняють.</w:t>
      </w:r>
    </w:p>
    <w:p w:rsidR="00456ECF" w:rsidRPr="00456ECF" w:rsidRDefault="00456ECF" w:rsidP="00456EC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C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Положення розроблено на основі Конституції України, Конвенції ООН «Про права дитини», Законів України «Про освіту», «Про запобігання корупції», «Про авторські та суміжні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Цивільного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татуту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</w:t>
      </w:r>
      <w:r w:rsidRPr="00456E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внутрішнього розпорядку та інших нормативно-правових акті</w:t>
      </w:r>
      <w:proofErr w:type="gramStart"/>
      <w:r w:rsidRPr="00456E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 законодавства України.</w:t>
      </w:r>
    </w:p>
    <w:p w:rsidR="00456ECF" w:rsidRPr="00456ECF" w:rsidRDefault="00456ECF" w:rsidP="00456EC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Метою даного Положення є дотримання високих професійних стандартів </w:t>
      </w:r>
      <w:proofErr w:type="gramStart"/>
      <w:r w:rsidRPr="00456E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освітній сфері, забезпечення сприятливого морально-психологічного клімату в колективі та підвищення довіри до результатів навчання, а також зростання авторитету  школи.</w:t>
      </w:r>
    </w:p>
    <w:p w:rsidR="00456ECF" w:rsidRPr="00456ECF" w:rsidRDefault="00456ECF" w:rsidP="00456EC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Дія Положення поширюється на </w:t>
      </w:r>
      <w:proofErr w:type="gramStart"/>
      <w:r w:rsidRPr="00456E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456ECF">
        <w:rPr>
          <w:rFonts w:ascii="Times New Roman" w:eastAsia="Times New Roman" w:hAnsi="Times New Roman" w:cs="Times New Roman"/>
          <w:sz w:val="28"/>
          <w:szCs w:val="28"/>
          <w:lang w:eastAsia="ru-RU"/>
        </w:rPr>
        <w:t>іх учасників освітнього процесу (педагогічних працівників, здобувачів освіти та їх батьків чи осіб, які їх заміняють) та співробітників школи.</w:t>
      </w:r>
    </w:p>
    <w:p w:rsidR="00F1347E" w:rsidRPr="00D64B2B" w:rsidRDefault="00F1347E" w:rsidP="003E484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4B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2.ПОНЯТТЯ ТА ПРИНЦИПИ АКАДЕМІЧНОЇ ДОБРОЧЕСНОСТІ</w:t>
      </w:r>
    </w:p>
    <w:p w:rsidR="003E484C" w:rsidRPr="00676D16" w:rsidRDefault="00456ECF" w:rsidP="00E96A4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Академічна доброчесність-це сукупність етичних принципів та визначених законом правил, якими мають керуватися учасники освітнього процесу 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навчання з метою забезпечення довіри до результатів навчання, попередження порушень освітнього процесу.</w:t>
      </w:r>
      <w:r w:rsidR="003E484C" w:rsidRPr="003E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6ECF" w:rsidRPr="003E484C" w:rsidRDefault="00456ECF" w:rsidP="00456EC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Порушеннями академічної доброчесності згідно ст.42 п.4 Закону України «Про освіту» вважається:</w:t>
      </w:r>
    </w:p>
    <w:p w:rsidR="00456ECF" w:rsidRPr="003E484C" w:rsidRDefault="00456ECF" w:rsidP="00456E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Академічний плагіат</w:t>
      </w: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авторства.</w:t>
      </w:r>
    </w:p>
    <w:p w:rsidR="00456ECF" w:rsidRPr="003E484C" w:rsidRDefault="00456ECF" w:rsidP="00456E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Самоплагіат</w:t>
      </w:r>
      <w:r w:rsidRPr="003E4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оприлюднення (частково або повністю) власних раніше опублікованих наукових результаті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нових.</w:t>
      </w:r>
    </w:p>
    <w:p w:rsidR="00456ECF" w:rsidRPr="003E484C" w:rsidRDefault="00456ECF" w:rsidP="00456E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Фабрикація</w:t>
      </w:r>
      <w:r w:rsidRPr="003E4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вигадування даних чи фактів, що використовуються в освітньому процесі або наукових 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ідженнях.</w:t>
      </w:r>
    </w:p>
    <w:p w:rsidR="00456ECF" w:rsidRPr="003E484C" w:rsidRDefault="00456ECF" w:rsidP="00456E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Фальсифікація</w:t>
      </w:r>
      <w:r w:rsidRPr="003E4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ідома зміна чи модифікація вже наявних даних, що стосуються освітнього процесу чи наукових досліджень.</w:t>
      </w:r>
    </w:p>
    <w:p w:rsidR="00456ECF" w:rsidRPr="003E484C" w:rsidRDefault="00456ECF" w:rsidP="00456E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Списування</w:t>
      </w:r>
      <w:r w:rsidRPr="003E4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виконання письмових робіт із залученням зовнішніх джерел інформації (шпаргалки, мікронавушники, телефони, планшети, тощо), крім дозволених для використання, зокрема 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оцінювання результатів навчання, а також повторне використання раніше виконаної іншою особою письмової роботи (лабораторної, контрольної, самостійної, індивідуальної, тощо).</w:t>
      </w:r>
    </w:p>
    <w:p w:rsidR="00456ECF" w:rsidRPr="003E484C" w:rsidRDefault="00456ECF" w:rsidP="00456E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Обман</w:t>
      </w:r>
      <w:r w:rsidRPr="003E4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надання завідомо неправдивої інформації щодо власної освітньої (наукової, творчої) діяльності чи організації освітнього процесу; формами обману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є,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зокрема, академічний плагіат, самоплагіат, фабрикація, фальсифікація та списування.</w:t>
      </w:r>
    </w:p>
    <w:p w:rsidR="00456ECF" w:rsidRPr="003E484C" w:rsidRDefault="00456ECF" w:rsidP="00456E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Хабарництво</w:t>
      </w:r>
      <w:r w:rsidRPr="003E48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надання (отримання) учасником освітнього процесу чи пропозиція щодо надання (отримання) коштів, майна, послуг, 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 чи будь-яких інших благ матеріального чи нематеріального характеру з метою отримання неправомірної переваги в освітньому процесі.</w:t>
      </w:r>
    </w:p>
    <w:p w:rsidR="00456ECF" w:rsidRPr="003E484C" w:rsidRDefault="00456ECF" w:rsidP="00456E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Зловживання впливом</w:t>
      </w: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пропозиція, обіцянка або надання неправомірної вигоди особі, яка пропонує чи обіцяє (погоджується) за таку вигоду або за надання такої вигоди третій особі вплинути на прийняття 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особою, уповноваженою на виконання функцій держави.</w:t>
      </w:r>
    </w:p>
    <w:p w:rsidR="00456ECF" w:rsidRPr="003E484C" w:rsidRDefault="00456ECF" w:rsidP="00456EC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Необ’єктивне оцінювання</w:t>
      </w: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ідоме завищення або заниження оцінки результатів навчання здобувачів освіти.</w:t>
      </w:r>
    </w:p>
    <w:p w:rsidR="00456ECF" w:rsidRPr="003E484C" w:rsidRDefault="00456ECF" w:rsidP="00456EC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Академічна доброчесність впроваджується через систему принципів: законності, професіоналізму, чесності, взаємоповаги, 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ічливості, справедливості, відповідальності, прозорості, толерантності.</w:t>
      </w:r>
    </w:p>
    <w:p w:rsidR="00456ECF" w:rsidRPr="003E484C" w:rsidRDefault="00456ECF" w:rsidP="00456EC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Кожен член шкільної спільноти наділений правом вільно обирати свою громадянську позицію, яка проголошується відкрито при обговоренні 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 та внутрішніх документів.</w:t>
      </w:r>
    </w:p>
    <w:p w:rsidR="00456ECF" w:rsidRPr="003E484C" w:rsidRDefault="00456ECF" w:rsidP="00456EC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Офіційне висвітлення діяльності закладу та напрямів його розвитку</w:t>
      </w:r>
      <w:r w:rsid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 здійснювати </w:t>
      </w:r>
      <w:r w:rsidR="003E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закладу </w:t>
      </w: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особа за його дорученням.</w:t>
      </w:r>
    </w:p>
    <w:p w:rsidR="00456ECF" w:rsidRPr="003E484C" w:rsidRDefault="00456ECF" w:rsidP="00456ECF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 У разі, якщо відбулося розповсюдження інформації, яка є </w:t>
      </w:r>
      <w:proofErr w:type="gramStart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неправдивою</w:t>
      </w:r>
      <w:proofErr w:type="gramEnd"/>
      <w:r w:rsidRPr="003E4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особа, яка до цього причетна, має зробити все можливе, щоб спростувати викривлену інформацію, зменшити обсяг завданої шкоди.</w:t>
      </w:r>
    </w:p>
    <w:p w:rsidR="00F1347E" w:rsidRPr="00D64B2B" w:rsidRDefault="00F1347E" w:rsidP="00F134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3.ЗАБЕЗПЕЧЕННЯ АКАДЕМІЧНОЇ ДОБРОЧЕСНОСТІ УЧАСНИКАМИ ОСВІТНЬОГО ПРОЦЕСУ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Академічна доброчесність забезпечується:</w:t>
      </w:r>
    </w:p>
    <w:p w:rsidR="00F1347E" w:rsidRPr="00F1347E" w:rsidRDefault="00F1347E" w:rsidP="00F134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3.1. Усіма співробітниками та уча</w:t>
      </w:r>
      <w:r w:rsidR="00D64B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сниками освітнього процесу </w:t>
      </w:r>
      <w:r w:rsidR="00D64B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закладу</w:t>
      </w:r>
      <w:r w:rsidRPr="00F13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шляхом: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Уникнення провокування дій, пов’язаних з корупційними правопорушеннями.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Дотримання норм Конституції України.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Дотримання Статуту школи та Правил внутрішнього розпорядку.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Дотримання норм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законодавства України в сфері освіти та загальної середньої освіти.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Збереження, поліпшення та раціонального використання навчально – матеріальної бази школи.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Культури зовнішнього вигляду співробітникі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учасників освітнього процесу.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Дотримання правил високих стандартів ділової етики у веденні переговорів, у тому числі телефонних, які мають вестися у спокійному,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ічливому, доброзичливому тоні, що сприяє створенню позитивної репутації школи загалом.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Надання достовірної інформації.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Негайного повідомлення адміністрації закладу у разі отримання для виконання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 чи доручень, які є незаконними або такими, що становлять загрозу правам, свободам чи інтересам окремих громадян, юридичних осіб, державним або суспільним інтересам.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3.1.10.Відповідальності за порушення академічної доброчесності.</w:t>
      </w:r>
    </w:p>
    <w:p w:rsidR="00F1347E" w:rsidRPr="00F1347E" w:rsidRDefault="00F1347E" w:rsidP="00F134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3.2. Педагогічними працівниками шляхом: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Якісного, вчасного та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результативного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своїх функціональнихобов’язків.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3.2.2. Дотримання правил внутрішнього розпорядку, трудової дисципліни, корпоративної етики.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Обов’язкової присутності, активної участі на засіданнях педагогічної ради та колегіальної відповідальності за прийняті управлінські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 Незалежності професійної діяльності від політичних партій, громадських і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ігійних організацій.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своєї кваліфікації шляхом саморозвитку і самовдосконалення, а також вчасного проходження відповідно до вимог законодавства курсової підготовки.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Дотримання правил посилання на джерела інформації у разі використання відомостей, написання методичних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іалів, наукових робіт, тощо.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Надання якісних освітніх послуг з використанням в практичній професійній діяльності інноваційних здобутків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галузі освіти.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Об’єктивного і неупередженого оцінювання результатів навчання здобувачів освіти.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Здійснення контролю за дотриманням академічної доброчесності здобувачами загальної середньої освіти.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Інформування здобувачів освіти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типові порушення академічної доброчесності та види відповідальності за її порушення.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3.2.11.Не розголошення конфіденційної інформації, інформації з обмеженим доступом та інших видів інформації відповідно до вимог законодавства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сфері інформації та звернення громадян.</w:t>
      </w:r>
    </w:p>
    <w:p w:rsidR="00F1347E" w:rsidRPr="00F1347E" w:rsidRDefault="00F1347E" w:rsidP="00F134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3.3. Здобувачами загальної середньої освіти шляхом: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Поваги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педагогічних працівників.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Поваги честі і гідності інших осіб, навіть, якщо їх погляди ві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ізняються від власних переконань.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Присутності на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іх навчальних заняттях, окрім випадків, викликаних поважними причинами.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Самостійного виконання навчальних завдань, завдань поточного та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ідсумкового контролю результатів навчання.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3.3.5. Подання на оцінювання лише самостійно виконаної роботи, що не є запозиченою або переробленою з іншої, виконаної третіми особами.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Використанням у навчальній або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ідницькій діяльності лише перевірених і достовірних джерел інформації та грамотного посилання на них.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3.3.7.Постійна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ідготовка до уроків, виконання домашніх завдань;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 Самостійне подання щоденника для виставлення педагогом одержаних балів;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Надання достовірної інформації про власні результати навчання батькам (особам, які їх замінюють).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 Дотримання правил культури зовнішнього вигляду.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3.3.11. Дотримання правил етики у спілкуванні з однолітками та дорослими.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3.3.12. Невикористання мобільних телефонів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освітнього процесу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Не припустимості пропонування хабаря за отримання будь-яких переваг у навчальній або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ідницькій діяльності, у тому числі з метою зміни отриманої академічної оцінки.</w:t>
      </w:r>
    </w:p>
    <w:p w:rsidR="00F1347E" w:rsidRPr="00F1347E" w:rsidRDefault="00F1347E" w:rsidP="00F134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3.4. Батьками здобувачів загальної середньої освіти або особами, які їх заміняють,  шляхом: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3.4.1. 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у дітей поваги до гідності, прав, свобод і законних інтересів однокласників, учнів інших класів, вчителів та інших людей.</w:t>
      </w:r>
      <w:proofErr w:type="gramEnd"/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Виховання відповідального ставлення до власного фізичного та психічного здоров’я, здоров’я оточуючих і довкілля, формування навичок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життя.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Формування у дитини культури життя у взаєморозумінні, мирі та злагоді, а також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загальнолюдських цінностей, як справедливість, патріотизм, гуманізм, толерантність, працелюбство.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Виховання поваги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державної мови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символів України, усвідомлення необхідності дотримуватися Конституції та законів України, Статуту школи, правил внутрішнього розпорядку.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Сприяння виконанню дитиною освітньої програми та досягнення дитиною передбачених нею результатів навчання, самостійного виконання нею </w:t>
      </w: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навчальних завдань, завдань поточного та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ідсумкового контролю результатів навчання.</w:t>
      </w:r>
    </w:p>
    <w:p w:rsidR="00F1347E" w:rsidRPr="00F1347E" w:rsidRDefault="00F1347E" w:rsidP="00F1347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3.5. Неприйнятним для </w:t>
      </w:r>
      <w:proofErr w:type="gramStart"/>
      <w:r w:rsidRPr="00F13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</w:t>
      </w:r>
      <w:proofErr w:type="gramEnd"/>
      <w:r w:rsidRPr="00F134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іх учасників шкільної спільноти є: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Навмисне перешкоджання навчальній чи трудовій діяльності членів спільноти.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Участь у будь-якій діяльності, що пов’язана з обманом, нечесністю;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ідробка та використання документів.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Перевищення повноважень, що передбачені посадовими інструкціями, контрактами.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Використання мобільних телефонів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навчальних занять, нарад або офіційних заходів.</w:t>
      </w:r>
    </w:p>
    <w:p w:rsidR="00F1347E" w:rsidRPr="00F1347E" w:rsidRDefault="00F1347E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Вживання наркотичних речовин, алкогольних напоїв, паління у тому числі і електронних сигарет, поява у стані </w:t>
      </w:r>
      <w:proofErr w:type="gramStart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proofErr w:type="gramEnd"/>
      <w:r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наркотичного та токсичного сп’яніння.</w:t>
      </w:r>
    </w:p>
    <w:p w:rsidR="00F1347E" w:rsidRPr="00F1347E" w:rsidRDefault="00D64B2B" w:rsidP="00F1347E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1347E"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несення зброї, використання газових балончиків та інших речей, що можуть зашкодити </w:t>
      </w:r>
      <w:proofErr w:type="gramStart"/>
      <w:r w:rsidR="00F1347E"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="00F1347E" w:rsidRPr="00F1347E">
        <w:rPr>
          <w:rFonts w:ascii="Times New Roman" w:eastAsia="Times New Roman" w:hAnsi="Times New Roman" w:cs="Times New Roman"/>
          <w:sz w:val="28"/>
          <w:szCs w:val="28"/>
          <w:lang w:eastAsia="ru-RU"/>
        </w:rPr>
        <w:t>’ю та життю людини.</w:t>
      </w:r>
    </w:p>
    <w:p w:rsidR="00D64B2B" w:rsidRPr="00D64B2B" w:rsidRDefault="00D64B2B" w:rsidP="00D64B2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ЗАХОДИ </w:t>
      </w:r>
      <w:proofErr w:type="gramStart"/>
      <w:r w:rsidRPr="00D6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D6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ПОПЕРЕДЖЕННЯ, ВИЯВЛЕННЯ ТА ВСТАНОВЛЕННЯ ФАКТІВ ПОРУШЕННЯ АКАДЕМІЧНОЇ ДОБРОЧЕСНОСТІ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прийомі на роботу працівник знайомиться із даним Положенням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розписку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після ознайомлення із правилами внутрішнього розпорядку школи.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Положення доводиться до батьківської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 на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конференції, а також оприлюднюється на сайті закладу.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Заступник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 закладу</w:t>
      </w: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який відповідає за методичну роботу:</w:t>
      </w:r>
    </w:p>
    <w:p w:rsidR="00D64B2B" w:rsidRPr="00D64B2B" w:rsidRDefault="00D64B2B" w:rsidP="00D64B2B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Забезпечує шляхом практикумів, консультацій та інших колективних та індивідуальних форм навчання з педагогічними працівниками допомагає у створенні, оформленні ними методичних розробок для публікацій на конкурси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ізного рівня з метою попередження порушень академічної доброчесності;</w:t>
      </w:r>
    </w:p>
    <w:p w:rsidR="00D64B2B" w:rsidRPr="00D64B2B" w:rsidRDefault="00D64B2B" w:rsidP="00D64B2B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Використовує у своїй діяльності (рецензування робіт на конкурси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ізного рівня, на присвоєння педагогічного звання) та рекомендує вчителям сервіси безко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штовної перевірки робіт на анти</w:t>
      </w: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плагіат.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Педагогічні працівники в процесі своєї освітньої діяльності дотримуються етики та академічної доброчесності, умов даного Положення, проводять </w:t>
      </w: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роз’яснювальну роботу з учнями щодо норм етичної поведінки та неприпустимості порушення академічної доброчесності (плагіат, порушення правил оформлення цитування, посилання на джерела інформації, списування, тощо).</w:t>
      </w:r>
    </w:p>
    <w:p w:rsidR="00D64B2B" w:rsidRPr="00D64B2B" w:rsidRDefault="00D64B2B" w:rsidP="00D64B2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ВІДПОВІДАЛЬНІСТЬ ЗА ПОРУШЕННЯ АКАДЕМІЧНОЇ ДОБРОЧЕСНОСТІ</w:t>
      </w:r>
    </w:p>
    <w:p w:rsidR="00D64B2B" w:rsidRPr="00D64B2B" w:rsidRDefault="00D64B2B" w:rsidP="00D64B2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Відповідальність за порушення академічної доброчесності педагогічних працівникі</w:t>
      </w:r>
      <w:proofErr w:type="gramStart"/>
      <w:r w:rsidRPr="00D64B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Відмова у встановленні кваліфікаційної категорії, присвоєнні педагогічного звання.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Позбавлення раніше встановленої категорії.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Позбавлення права брати участь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роботі визначених законом органів чи займати визначені законом посади.</w:t>
      </w:r>
    </w:p>
    <w:p w:rsidR="00D64B2B" w:rsidRPr="00D64B2B" w:rsidRDefault="00D64B2B" w:rsidP="00D64B2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Відповідальність за порушення академічної доброчесності здобувачів освіти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У разі списування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час конкурсів, I етапу Всеукраїнської учнівської олімпіади робота учасника анулюється. У разі повторних випадків учасник не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участі в інших конкурсах, олімпіадах.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Повторне проходження оцінювання (контрольна робота, атестація тощо)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не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зарахування результатів самостійних, контрольних робіт, іспитів, тощо;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Повторне проходження відповідного освітнього компонента освітньої програми;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Повідомлення батькам/особам, які їх замінюють (усно, письмово, телефоном);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Доведен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 інформації про академічну не</w:t>
      </w: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доброчесність здобувачів освіти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закладу освіти, загальних зборів тощо.</w:t>
      </w:r>
    </w:p>
    <w:p w:rsidR="00D64B2B" w:rsidRPr="00D64B2B" w:rsidRDefault="00D64B2B" w:rsidP="00D64B2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64B2B" w:rsidRPr="00D64B2B" w:rsidRDefault="00D64B2B" w:rsidP="00D64B2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КОМІСІЯ </w:t>
      </w:r>
      <w:proofErr w:type="gramStart"/>
      <w:r w:rsidRPr="00D6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D6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ПИТАНЬ АКАДЕМІЧНОЇ ДОБРОЧЕСНОСТІ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Комі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академічної доброчесності (далі - Комісія) – це незалежний орган, що діє у школі з метою забезпечення моніторингу дотримання членами шкільної спільноти морально-етичних та правових норм цього Положення.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До складу Комісії</w:t>
      </w:r>
      <w:r w:rsidR="008F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входять представники </w:t>
      </w:r>
      <w:r w:rsidR="008F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8F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трудового</w:t>
      </w:r>
      <w:proofErr w:type="gramEnd"/>
      <w:r w:rsidR="008F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колективу</w:t>
      </w: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учнівського самоврядування та педагогічного колективу.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 комісії затверджується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 педагогічної ради.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Голова, заступник голови та секретар Комісії обираються з числа осіб, що входять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неї.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веде засідання,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ідписує протоколи та рішення тощо.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відсутності голови Комісії його обов’язки виконує заступник.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Комісії здійснює повноваження щодо ведення протоколу засідання, технічної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 матеріалів до розгляду їх на засіданні тощо.</w:t>
      </w:r>
    </w:p>
    <w:p w:rsidR="00D64B2B" w:rsidRPr="00D64B2B" w:rsidRDefault="00894359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Термін повноважень Комісії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64B2B"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64B2B"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Комі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ія має такі повноваження: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 та встановлювати факти порушення академічної доброчесності учасників освітнього процесу школи.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 інформаційну роботу щодо популяризації принципів академічної доброчесності серед учасників освітнього процесу.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Готувати пропозиції, надавати рекомендації та консультації  щодо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ефективності впровадження принципів академічної доброчесності в освітню діяльність школи.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Отримувати і розглядати заяви за умови, якщо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носять не анонімний характер, щодо порушення академічної доброчесності учасників освітнього процесу школи.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Залучати до своєї роботи експертів з відповідних галузей, а також використовувати технічні і програмні засоби для встановлення фактів порушення норм академічної доброчесності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поданою заявою.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Доводити результати розгляду заяв щодо порушення академічної доброче</w:t>
      </w:r>
      <w:r w:rsidR="008F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сності </w:t>
      </w:r>
      <w:proofErr w:type="gramStart"/>
      <w:r w:rsidR="008F1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F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відома </w:t>
      </w:r>
      <w:r w:rsidR="008F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 закладу</w:t>
      </w: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подальшого реагування.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Свої повноваження Комісія здійснює за умови, що кількість її членів, присутні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засіданні, складатиме не менше ніж дві третини її складу.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приймаються відкритим голосуванням.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вважається прийнятим, якщо за нього проголосувало більше половини присутніх на </w:t>
      </w: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засіданні членів Комісії. У разі рівного розподілу голосів, голос голови Комісії є вирішальним.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За результатами засідання Комі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ії складається протокол. Який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ідписує голова (в разі його відсутності - заступник) та секретар.</w:t>
      </w:r>
    </w:p>
    <w:p w:rsidR="00D64B2B" w:rsidRPr="00D64B2B" w:rsidRDefault="00D64B2B" w:rsidP="00D64B2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ЗАКЛЮЧНІ ПОЛОЖЕННЯ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Учасники освітнього процесу мають знати Положення про академічну доброчесність. Незнання або нерозуміння норм цього Положення не є виправданням неетичної поведінки. Школа забезпечує публічний доступ </w:t>
      </w:r>
      <w:proofErr w:type="gramStart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Положення через власний офіційний сайт.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Положення про</w:t>
      </w:r>
      <w:r w:rsidR="008F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академічну доброчесність </w:t>
      </w:r>
      <w:r w:rsidR="008F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ЗЗСО І-ІІІ ст..з ДВ № 11 с</w:t>
      </w:r>
      <w:proofErr w:type="gramStart"/>
      <w:r w:rsidR="008F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.Ч</w:t>
      </w:r>
      <w:proofErr w:type="gramEnd"/>
      <w:r w:rsidR="008F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орний Острів</w:t>
      </w: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затверджується педагогічною радою школи та в</w:t>
      </w:r>
      <w:r w:rsidR="008F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водиться в дію наказом </w:t>
      </w:r>
      <w:r w:rsidR="008F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</w:t>
      </w: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B2B" w:rsidRPr="008F1063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Зміни та доповнення до Положення можуть бути внесені будь-яким учасником освітнього процесу за поданням до педагогічної ради школи та вводять</w:t>
      </w:r>
      <w:r w:rsidR="008F1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дію наказом </w:t>
      </w:r>
      <w:r w:rsidR="008F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</w:t>
      </w:r>
      <w:proofErr w:type="gramStart"/>
      <w:r w:rsidR="008F1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  <w:proofErr w:type="gramEnd"/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B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4B2B" w:rsidRPr="00D64B2B" w:rsidRDefault="00D64B2B" w:rsidP="00D64B2B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5B5B5B"/>
          <w:sz w:val="18"/>
          <w:szCs w:val="18"/>
          <w:lang w:eastAsia="ru-RU"/>
        </w:rPr>
      </w:pPr>
      <w:r w:rsidRPr="00D64B2B">
        <w:rPr>
          <w:rFonts w:ascii="Times New Roman" w:eastAsia="Times New Roman" w:hAnsi="Times New Roman" w:cs="Times New Roman"/>
          <w:color w:val="5B5B5B"/>
          <w:sz w:val="18"/>
          <w:szCs w:val="18"/>
          <w:lang w:eastAsia="ru-RU"/>
        </w:rPr>
        <w:t> </w:t>
      </w:r>
    </w:p>
    <w:p w:rsidR="00D64B2B" w:rsidRPr="0070408C" w:rsidRDefault="00D64B2B" w:rsidP="008F106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 академічної відповідальності</w:t>
      </w:r>
    </w:p>
    <w:p w:rsidR="00D64B2B" w:rsidRPr="0070408C" w:rsidRDefault="00D64B2B" w:rsidP="008F106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конкретн</w:t>
      </w:r>
      <w:r w:rsidR="0070408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порушення академічної доброч</w:t>
      </w:r>
      <w:r w:rsidR="007040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</w:t>
      </w:r>
      <w:r w:rsidRPr="00704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ності, визначені</w:t>
      </w:r>
    </w:p>
    <w:p w:rsidR="00D64B2B" w:rsidRPr="0070408C" w:rsidRDefault="00D64B2B" w:rsidP="008F106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8F1063" w:rsidRPr="0070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утрішнім Положенням </w:t>
      </w:r>
      <w:r w:rsidR="008F1063" w:rsidRPr="007040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ЗЗСО І-ІІІ ст.з ДВ №11 с.Чорний Острів</w:t>
      </w:r>
    </w:p>
    <w:p w:rsidR="008F1063" w:rsidRPr="0070408C" w:rsidRDefault="008F1063" w:rsidP="008F106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1063" w:rsidRDefault="008F1063" w:rsidP="008F106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1063" w:rsidRDefault="008F1063" w:rsidP="008F106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1063" w:rsidRDefault="008F1063" w:rsidP="008F106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1063" w:rsidRDefault="008F1063" w:rsidP="008F106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1063" w:rsidRDefault="008F1063" w:rsidP="008F106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1063" w:rsidRPr="008F1063" w:rsidRDefault="008F1063" w:rsidP="008F106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9"/>
        <w:gridCol w:w="1274"/>
        <w:gridCol w:w="2411"/>
        <w:gridCol w:w="3114"/>
        <w:gridCol w:w="2127"/>
      </w:tblGrid>
      <w:tr w:rsidR="00D64B2B" w:rsidRPr="00D64B2B" w:rsidTr="00983EC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18"/>
                <w:lang w:eastAsia="ru-RU"/>
              </w:rPr>
              <w:t>Порушення</w:t>
            </w:r>
          </w:p>
          <w:p w:rsidR="00D64B2B" w:rsidRPr="00D64B2B" w:rsidRDefault="00D64B2B" w:rsidP="00983EC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18"/>
                <w:lang w:eastAsia="ru-RU"/>
              </w:rPr>
              <w:t>академічної доброчесності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18"/>
                <w:lang w:eastAsia="ru-RU"/>
              </w:rPr>
              <w:t>Суб’єкти</w:t>
            </w:r>
          </w:p>
          <w:p w:rsidR="00D64B2B" w:rsidRPr="00D64B2B" w:rsidRDefault="00D64B2B" w:rsidP="00983EC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18"/>
                <w:lang w:eastAsia="ru-RU"/>
              </w:rPr>
              <w:t>поруше-ння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18"/>
                <w:lang w:eastAsia="ru-RU"/>
              </w:rPr>
              <w:t>Обставинита умови  порушення</w:t>
            </w:r>
          </w:p>
          <w:p w:rsidR="00D64B2B" w:rsidRPr="00D64B2B" w:rsidRDefault="00D64B2B" w:rsidP="00983EC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18"/>
                <w:lang w:eastAsia="ru-RU"/>
              </w:rPr>
              <w:t>академічної доброчесності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18"/>
                <w:lang w:eastAsia="ru-RU"/>
              </w:rPr>
              <w:t>Наслідки  і форма відповідальності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18"/>
                <w:lang w:eastAsia="ru-RU"/>
              </w:rPr>
              <w:t xml:space="preserve">Орган / посадова особа, який приймає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18"/>
                <w:lang w:eastAsia="ru-RU"/>
              </w:rPr>
              <w:t>р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18"/>
                <w:lang w:eastAsia="ru-RU"/>
              </w:rPr>
              <w:t>ішення про призначення</w:t>
            </w:r>
          </w:p>
          <w:p w:rsidR="00D64B2B" w:rsidRPr="00D64B2B" w:rsidRDefault="00D64B2B" w:rsidP="00983EC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5B5B"/>
                <w:sz w:val="18"/>
                <w:lang w:eastAsia="ru-RU"/>
              </w:rPr>
              <w:t>виду відповідальності</w:t>
            </w:r>
          </w:p>
        </w:tc>
      </w:tr>
      <w:tr w:rsidR="00D64B2B" w:rsidRPr="00D64B2B" w:rsidTr="00983EC6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lastRenderedPageBreak/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Списування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lastRenderedPageBreak/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lastRenderedPageBreak/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Здобувачі освіти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lastRenderedPageBreak/>
              <w:t>- самостійні роботи;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lastRenderedPageBreak/>
              <w:t>- контрольні роботи;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 контрольні зрізи знань;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р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ічне оцінювання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(для  екстернів)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 моніторинги якості знань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lastRenderedPageBreak/>
              <w:t xml:space="preserve">Повторне письмове проходження </w:t>
            </w: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lastRenderedPageBreak/>
              <w:t>оцінювання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Термін-1 тиждень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або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повторне проходження відповідного освітнього компонента освітньої програми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lastRenderedPageBreak/>
              <w:t>Учител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і-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предметники</w:t>
            </w:r>
          </w:p>
        </w:tc>
      </w:tr>
      <w:tr w:rsidR="00D64B2B" w:rsidRPr="00D64B2B" w:rsidTr="00983E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B2B" w:rsidRPr="00D64B2B" w:rsidRDefault="00D64B2B" w:rsidP="0098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B2B" w:rsidRPr="00D64B2B" w:rsidRDefault="00D64B2B" w:rsidP="0098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- ДПА;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р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ічне оцінювання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( для  екстернів)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Повторне проходження оцінювання  за графіком проведення  ДПА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у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 закладі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Не зарахування  результаті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в</w:t>
            </w:r>
            <w:proofErr w:type="gramEnd"/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Комі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с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ія з проведення ДПА</w:t>
            </w:r>
          </w:p>
        </w:tc>
      </w:tr>
      <w:tr w:rsidR="00D64B2B" w:rsidRPr="00D64B2B" w:rsidTr="00983E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B2B" w:rsidRPr="00D64B2B" w:rsidRDefault="00D64B2B" w:rsidP="0098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B2B" w:rsidRPr="00D64B2B" w:rsidRDefault="00D64B2B" w:rsidP="0098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-І ета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п(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 шкільний) Всеукраїнських  учнівських олімпіад, конкурсів;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Робота учасника анулюється, не оцінюється.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У разі повторних випадків списування учасник не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допускається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 до участі в інших  олімпіадах, конкурсах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Оргкомітет, журі</w:t>
            </w:r>
          </w:p>
        </w:tc>
      </w:tr>
      <w:tr w:rsidR="00D64B2B" w:rsidRPr="00D64B2B" w:rsidTr="00983EC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Необ’єктивне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оцінювання результатів навчання здобувачі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Педагогічні працівники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Св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ідоме завищення або заниження оцінки результатів навчання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-усні відповіді;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-домашні роботи;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-контрольні роботи;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-лабораторні та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практичні роботи;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-ДПА;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-тематичне оцінювання;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 моніторинги;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lastRenderedPageBreak/>
              <w:t>-олімпіадні та конкурсні роботи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lastRenderedPageBreak/>
              <w:t>Педагогічному працівнику рекомендується опрацювати критерії оцінювання знань. Факти  систематичних порушень враховуються  при встановленні кваліфікаційної категорії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 присвоєнні педагогічних  звань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Адміністрація закладу, атестаційні  комісії усіх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р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івнів</w:t>
            </w:r>
          </w:p>
        </w:tc>
      </w:tr>
      <w:tr w:rsidR="00D64B2B" w:rsidRPr="00D64B2B" w:rsidTr="00983EC6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lastRenderedPageBreak/>
              <w:t>Обман: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Фальсифікація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 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Педагогічні працівники</w:t>
            </w:r>
          </w:p>
          <w:p w:rsidR="00D64B2B" w:rsidRPr="00D64B2B" w:rsidRDefault="00D64B2B" w:rsidP="00983EC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lang w:eastAsia="ru-RU"/>
              </w:rPr>
              <w:t>як автори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Навчально-методичні освітні продукти, створені педагогічними працівниками: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-методичні рекомендації;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-навчальний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пос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ібник;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-навчально-методичний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пос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ібник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-наочний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пос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ібник;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-практичний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пос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ібник;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-навчальний наочний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пос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ібник;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-збірка;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-методична збірка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-методичний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вісник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-стаття;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-методична розробка</w:t>
            </w: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У випадку встановлення порушень такого порядку: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А) спотворене представлення у методичних розробках, публікаціях чужих розробок, ідей, синтезу або компіляції чужих джерел, використання Інтернету без посилань, фальсифікація наукових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досл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іджень, неправдива інформація про власну освітню діяльність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 є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ідставою для відмови в присвоєнні або позбавлені раніше присвоєного педагогічного звання, кваліфікаційної категорії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 xml:space="preserve">Б) в разі встановлення в атестаційний період  фактів списування здобувачами </w:t>
            </w:r>
            <w:proofErr w:type="gramStart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</w:t>
            </w:r>
            <w:proofErr w:type="gramEnd"/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ід час контрольних зрізів знань, фальсифікації результатів власної педагогічної діяльності</w:t>
            </w:r>
          </w:p>
          <w:p w:rsidR="00D64B2B" w:rsidRPr="00D64B2B" w:rsidRDefault="00D64B2B" w:rsidP="00983EC6">
            <w:pPr>
              <w:spacing w:before="120" w:after="120" w:line="408" w:lineRule="atLeast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  <w:r w:rsidRPr="00D64B2B"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  <w:t>позбавлення педагогічного працівника І,ІІ кваліфікаційної категорії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4B2B" w:rsidRPr="00D64B2B" w:rsidRDefault="00D64B2B" w:rsidP="0098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B2B" w:rsidRPr="00D64B2B" w:rsidTr="00983E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B2B" w:rsidRPr="00D64B2B" w:rsidRDefault="00D64B2B" w:rsidP="0098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B2B" w:rsidRPr="00D64B2B" w:rsidRDefault="00D64B2B" w:rsidP="0098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B2B" w:rsidRPr="00D64B2B" w:rsidRDefault="00D64B2B" w:rsidP="0098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B2B" w:rsidRPr="00D64B2B" w:rsidRDefault="00D64B2B" w:rsidP="0098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4B2B" w:rsidRPr="00D64B2B" w:rsidRDefault="00D64B2B" w:rsidP="0098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4B2B" w:rsidRPr="00D64B2B" w:rsidRDefault="00D64B2B" w:rsidP="00D64B2B">
      <w:pPr>
        <w:rPr>
          <w:rFonts w:ascii="Times New Roman" w:hAnsi="Times New Roman" w:cs="Times New Roman"/>
        </w:rPr>
      </w:pPr>
    </w:p>
    <w:p w:rsidR="00456ECF" w:rsidRPr="00D64B2B" w:rsidRDefault="00456ECF" w:rsidP="00676D1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6ECF" w:rsidRPr="00D64B2B" w:rsidSect="00DF55E8">
      <w:pgSz w:w="11906" w:h="16838"/>
      <w:pgMar w:top="1134" w:right="1133" w:bottom="1134" w:left="113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1CC"/>
    <w:multiLevelType w:val="multilevel"/>
    <w:tmpl w:val="9D1C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04D9B"/>
    <w:multiLevelType w:val="multilevel"/>
    <w:tmpl w:val="0882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90D72"/>
    <w:multiLevelType w:val="multilevel"/>
    <w:tmpl w:val="0514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410D9"/>
    <w:multiLevelType w:val="multilevel"/>
    <w:tmpl w:val="25BE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05F65"/>
    <w:multiLevelType w:val="multilevel"/>
    <w:tmpl w:val="FD48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32990"/>
    <w:multiLevelType w:val="multilevel"/>
    <w:tmpl w:val="5520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34A56"/>
    <w:multiLevelType w:val="multilevel"/>
    <w:tmpl w:val="26C4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C419A"/>
    <w:multiLevelType w:val="multilevel"/>
    <w:tmpl w:val="E71E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6197E"/>
    <w:multiLevelType w:val="multilevel"/>
    <w:tmpl w:val="4B72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044E6"/>
    <w:multiLevelType w:val="multilevel"/>
    <w:tmpl w:val="BB52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54412D"/>
    <w:multiLevelType w:val="multilevel"/>
    <w:tmpl w:val="528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676D16"/>
    <w:rsid w:val="0038326E"/>
    <w:rsid w:val="003E484C"/>
    <w:rsid w:val="00456ECF"/>
    <w:rsid w:val="00676D16"/>
    <w:rsid w:val="0070408C"/>
    <w:rsid w:val="00805EA2"/>
    <w:rsid w:val="00894359"/>
    <w:rsid w:val="008F1063"/>
    <w:rsid w:val="00A57387"/>
    <w:rsid w:val="00A643B4"/>
    <w:rsid w:val="00AB6E42"/>
    <w:rsid w:val="00B51DBE"/>
    <w:rsid w:val="00D64B2B"/>
    <w:rsid w:val="00DB2740"/>
    <w:rsid w:val="00DD7E8A"/>
    <w:rsid w:val="00DF55E8"/>
    <w:rsid w:val="00E96A43"/>
    <w:rsid w:val="00F1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D315-B817-4A62-9C0E-A3D00860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2022-01-24T18:56:00Z</cp:lastPrinted>
  <dcterms:created xsi:type="dcterms:W3CDTF">2022-01-24T16:37:00Z</dcterms:created>
  <dcterms:modified xsi:type="dcterms:W3CDTF">2022-01-30T11:41:00Z</dcterms:modified>
</cp:coreProperties>
</file>