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50A" w:rsidRPr="004B7880" w:rsidRDefault="003A750A" w:rsidP="003A7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Обґрунтування технічних та якісних характеристик закупівлі електричної енергії,</w:t>
      </w:r>
    </w:p>
    <w:p w:rsidR="003A750A" w:rsidRPr="004B7880" w:rsidRDefault="003A750A" w:rsidP="003A7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розміру бюджетного призначення, очікуваної вартості предмета закупівлі</w:t>
      </w:r>
    </w:p>
    <w:p w:rsidR="003A750A" w:rsidRPr="004B7880" w:rsidRDefault="003A750A" w:rsidP="003A7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(оприлюднюється на виконання постанови КМУ № 710 від 11.10.2016</w:t>
      </w:r>
    </w:p>
    <w:p w:rsidR="003A750A" w:rsidRPr="004B7880" w:rsidRDefault="003A750A" w:rsidP="003A750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«Про ефективне використання державних коштів» (зі змінами)</w:t>
      </w:r>
    </w:p>
    <w:p w:rsidR="003A750A" w:rsidRPr="004B7880" w:rsidRDefault="003A750A" w:rsidP="003A75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— підприємців та громадських формувань, його категорія: 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Браїлівська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гімназія Жмеринської міської територіальної громади                                                                           Код ЄДРПОУ: 26242508, 23130, вул. Островського, 2 ,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смт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Браїлів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>, Жмеринський р-н, Вінницька обл.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категорія замовника - юридична особа, яка забезпечує потреби держави або територіальної громади. 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Назва предмета закупівлі із зазначенням коду за Єдиним закупівельним словником: 021:2015 – 09310000-5 – Електрична енергія. 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Вид та ідентифікатор процедури закупівлі: відкриті торги з особливостями UA-2023-12-29-001550-a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 Очікувана вартість: 142 128,00 грн.(сто сорок дві тисячі сто двадцять вісім грн. 00 коп.)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 Вартість включає тариф на послуги з передачі електричної енергії, тариф на послуги з передачі електричної енергії, тариф на послуги з розподілу електричної</w:t>
      </w:r>
      <w:bookmarkStart w:id="0" w:name="_GoBack"/>
      <w:bookmarkEnd w:id="0"/>
      <w:r w:rsidRPr="004B7880">
        <w:rPr>
          <w:rFonts w:ascii="Times New Roman" w:hAnsi="Times New Roman" w:cs="Times New Roman"/>
          <w:sz w:val="24"/>
          <w:szCs w:val="24"/>
        </w:rPr>
        <w:t xml:space="preserve"> енергії, маржу Учасника, витрати на сплату податку та інші витрати.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186820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Обґрунтування</w:t>
      </w:r>
      <w:r w:rsidR="008C3B49" w:rsidRPr="004B7880">
        <w:rPr>
          <w:rFonts w:ascii="Times New Roman" w:hAnsi="Times New Roman" w:cs="Times New Roman"/>
          <w:sz w:val="24"/>
          <w:szCs w:val="24"/>
        </w:rPr>
        <w:t xml:space="preserve"> технічних і якісних характеристик предмета закупівлі: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Кількість -  21150 кВт/год 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Технічні та якісні характеристики: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1. Технічні та якісні характеристики предмету закупівлі, що закуповується повинні відповідати технічним умовам та стандартам, передбаченим законодавством України діючими на період постачання товару. Якість постачання – безперервне, комерційна якість постачання.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2. Учасник-постачальник повинен забезпечувати дотримання загальних та гарантованих стандартів якості постачання електричної енергії, в тому числі, що передбачені згідно Порядку забезпечення стандартів якості електропостачання та надання компенсацій споживачам за їх недотримання, затвердженого постановою НКРЕКП від 12.06.2018 р. № 375, Закону України «Про ринок електричної енергії», Правил роздрібного ринку електричної енергії, інших нормативно-правових актів. 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Згідно ст. 18 Закон України «Про ринок електричної енергії» показники якості електропостачання повинні відповідати величинам, що затверджені Національною комісією, що здійснює державне регулювання у сферах енергетики та комунальних послуг.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3. Відповідно до положень пункту 11.4.6 глави 11.4 розділу XI Кодексу систем розподілу, затвердженого постановою НКРЕКП від 14.03.2018 № 310, параметри якості електричної енергії в точках приєднання споживачів у нормальних умовах експлуатації мають відповідати параметрам, визначеним у ДСТУ EN 50160:2014 «Характеристики напруги електропостачання в електричних мережах загального призначення», ГОСТ 13109-97 «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Электрическаяэнергия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Совместимость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технических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средств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электромагнитная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Нормы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качества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электрическо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йэнергии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в системах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электроснабжения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общего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B7880">
        <w:rPr>
          <w:rFonts w:ascii="Times New Roman" w:hAnsi="Times New Roman" w:cs="Times New Roman"/>
          <w:sz w:val="24"/>
          <w:szCs w:val="24"/>
        </w:rPr>
        <w:t>назначения</w:t>
      </w:r>
      <w:proofErr w:type="spellEnd"/>
      <w:r w:rsidRPr="004B7880">
        <w:rPr>
          <w:rFonts w:ascii="Times New Roman" w:hAnsi="Times New Roman" w:cs="Times New Roman"/>
          <w:sz w:val="24"/>
          <w:szCs w:val="24"/>
        </w:rPr>
        <w:t>».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4. Учасник визначає ціни на товар, який він пропонує поставити за Договором, з урахуванням усіх своїх витрат, які можуть бути ним понесені у ході виконання договору про закупівлю.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lastRenderedPageBreak/>
        <w:t>5. Строк поставки Товару: 31 грудня 2024 року (включно).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6. Постачальник повинен бути включений до переліку суб'єктів господарської діяльності, які мають ліцензії з постачання електричної енергії, який розміщений на офіційному веб-порталі Національної комісії, що здійснює державне регулювання у сферах енергетики та комунальних послуг.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7. Місце поставки (передачі) Товару: Точки комерційного обліку об’єктів споживача.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Умови постачання електричної енергії замовнику повинні відповідати наступним нормативно-правовим актам: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- Закону України «Про публічні закупівлі» від 25.12.2015 № 922-VIII (із змінами);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- Особливостям затвердженими постановою Кабінету Міністрів України від 12 жовтня 2022 р. № 1178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- Закону України «Про ринок електричної енергії» (із змінами);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- Правилам роздрібного ринку електричної енергії (затверджених постановою НКРЕКП від 14.03.2018 р. № 312);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>- іншим нормативно-правовим актам, прийнятих на виконання Закону України «Про ринок електричної енергії».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  <w:r w:rsidRPr="004B7880">
        <w:rPr>
          <w:rFonts w:ascii="Times New Roman" w:hAnsi="Times New Roman" w:cs="Times New Roman"/>
          <w:sz w:val="24"/>
          <w:szCs w:val="24"/>
        </w:rPr>
        <w:t xml:space="preserve"> Обґрунтування розміру бюджетного призначення: Очікувана вартість /розмір бюджетного призначення предмета закупівлі визначено відповідно до затвердженого кошторису та прогнозованих обсягів постачання електричної енергії протягом 2024 року.</w:t>
      </w:r>
    </w:p>
    <w:p w:rsidR="008C3B49" w:rsidRPr="004B7880" w:rsidRDefault="008C3B49" w:rsidP="008C3B4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50A" w:rsidRPr="004B7880" w:rsidRDefault="003A750A" w:rsidP="003A750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A750A" w:rsidRPr="004B7880" w:rsidRDefault="003A750A" w:rsidP="003A750A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3A750A" w:rsidRPr="004B788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50A"/>
    <w:rsid w:val="00112D03"/>
    <w:rsid w:val="00186820"/>
    <w:rsid w:val="003A750A"/>
    <w:rsid w:val="004B7880"/>
    <w:rsid w:val="008C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75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</dc:creator>
  <cp:keywords/>
  <dc:description/>
  <cp:lastModifiedBy>user</cp:lastModifiedBy>
  <cp:revision>5</cp:revision>
  <dcterms:created xsi:type="dcterms:W3CDTF">2024-01-28T17:53:00Z</dcterms:created>
  <dcterms:modified xsi:type="dcterms:W3CDTF">2024-01-30T11:24:00Z</dcterms:modified>
</cp:coreProperties>
</file>