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1C" w:rsidRDefault="001365FA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ГРИП 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2018-2019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р.р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 ТА ЗАХОДИ ПОПЕРЕДЖЕННЯ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 прогнозами МОЗ, в Україні очікуються сезонні захворювання на грип з жовтня 2018-го до травня 2019-го року.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Згідно з опублікованим прогнозом Всесвітньої організації охорони здоров’я, вірусами, які ймовірно будуть циркулювати в Україні у новому епідсезоні, є: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• вірус, подібний A/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Michigan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/45/2015(H1N1)pdm09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вірус, подібний A/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Singapore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/ INFIMH-16-0019/2016(H3N2)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вірус, подібний B/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Colorado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/06/2017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Доведено, що грип та ГРЗ є особливо небезпечними для дітей, осіб похилого віку та людей з порушенням імунітету. При зазначених захворюваннях ускладнюється функція отримання кисню організмом, що може призвести навіть до смерті. І це явище далеко не виняткове. Причина – несвоєчасне чи неправильне лікування. Як запобігти негативним наслідкам – читайте далі.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Типовими ознаками грипу та ГРЗ є нездужання, ломота в тілі, головний біль, кашель, нежить, підвищення температури тіла.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Телефонуйте 103, якщо з’явились небезпечні ознаки: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задишка,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висипи на шкірі,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кровохаркання,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синюшний відтінок шкіри,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блювання та пронос,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біль в грудях,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зниження тиску,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сповільнений пульс,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аритмія,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порушення свідомості,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судоми.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Пам’ятайте! Раннє розпізнавання небезпечних ознак є надзвичайно важливим. Саме тому для постановки діагнозу необхідно звернутися до лікаря, який призначить лікування та буде контролювати стан вашого здоров’я чи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здоров᾽я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вашої дитини.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Щоб уникнути небезпечних наслідків, наполегливо рекомендуємо уникати надмірного призначення ліків та призначення бездоказових методів для лікування чи профілактики грипу та ГРЗ, особливо – у дітей.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На сьогодні НЕ доведено ефективність таких методів: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теплові процедури,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фітотерапія,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вітаміни,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інтерферони,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гомеопатичні препарати,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• антибіотики для профілактики.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Спираючись на сучасні доказові клінічні настанови, протоколи та рекомендації МОЗ, наполягаємо звернути увагу, що антибіотики, противірусні препарати (крім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озельтамівіру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занамівіру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за показанням), «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імуномодулятори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» та інтерферони не рекомендовані для симптоматичного лікування неускладнених ГРЗ у дітей. Ефективність вітамінів,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антигістамінних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та рослинних препаратів не доведена, а «Сиропи від кашлю» можуть бути шкідливими для дітей до 4 років. «Комбіновані ліки від застуди», котрі полегшують симптоми у дорослих, є забороненими для дітей молодшого віку.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ПРОФІЛАКТИЧНІ ЗАХОДИ ДЛЯ ПОПЕРЕДЖЕННЯ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lastRenderedPageBreak/>
        <w:t>СПАЛАХУ ГРИПУ ТА ГРЗ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До та впродовж епідемічного періоду поширення грипу та ГРЗ (жовтень-березень) необхідно проводити профілактичні заходи, спрямовані на попередження поширення інфекції.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Найбільш ефективним з них є проведення профілактичних щеплень.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Особливо важливими профілактичні щеплення для людей із групи ризику – дітей, вагітних та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породілль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, осіб, старших 65 років, осіб з ослабленим імунітетом, онкологічними, хронічними та неврологічними (хвороби головного та спинного мозку, церебральний параліч, епілепсія, інсульт, розумова відсталість) захворюваннями, ожирінням, а також медичних працівників.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Вакцина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протии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гриппу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належить до рекомендованих вакцин та не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закуповується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за державний кошт. Пацієнт може купити вакцини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протигрипу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аптечній мережі за власні кошти та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доставитиїї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до пункту щеплень з дотриманням «холодового ланцюга».</w:t>
      </w:r>
    </w:p>
    <w:sectPr w:rsidR="00DD3E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FA"/>
    <w:rsid w:val="001365FA"/>
    <w:rsid w:val="0033251E"/>
    <w:rsid w:val="004F1631"/>
    <w:rsid w:val="008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36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3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Оличка</dc:creator>
  <cp:lastModifiedBy>Оличка</cp:lastModifiedBy>
  <cp:revision>1</cp:revision>
  <dcterms:created xsi:type="dcterms:W3CDTF">2018-11-08T17:47:00Z</dcterms:created>
  <dcterms:modified xsi:type="dcterms:W3CDTF">2018-11-08T18:05:00Z</dcterms:modified>
</cp:coreProperties>
</file>