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3"/>
        <w:spacing w:before="0" w:after="0"/>
        <w:jc w:val="center"/>
        <w:rPr>
          <w:color w:val="843C0B"/>
          <w:sz w:val="60"/>
          <w:szCs w:val="60"/>
        </w:rPr>
      </w:pPr>
      <w:r>
        <w:rPr>
          <w:color w:val="843C0B"/>
          <w:sz w:val="60"/>
          <w:szCs w:val="60"/>
          <w:rtl w:val="0"/>
        </w:rPr>
        <w:t>ОРГАНІЗАЦІЯ ЦЗ В ЗАКЛАДАХ ОСВІТИ. ПЛАНУВАННЯ ЗАХОДІВ ЦЗ В 2025 РОЦІ</w:t>
      </w:r>
    </w:p>
    <w:p w14:paraId="00000002"/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       Забезпечення реалізації державної політики у сфері цивільного захисту здійснюється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 xml:space="preserve">єдиною державною системою цивільного 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захисту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, яка складається з постійно діючих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функціональних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і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територіальних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підсистем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та їх ланок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.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      Функціональні підсистеми єдиної державної системи цивільного захисту створюються у відповідних сферах суспільного життя центральними органами виконавчої влади.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      Міністерство освіти і науки України в межах своїх повноважень створює відповідну функціональну підсистему МОН України, розробляє та затверджує Положення про її діяльність (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, затверджене наказом МОН України від 21.11.2016  № 1400).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      До складу функціональної підсистеми МОН України входять місцеві органи управління освітою, підпорядковані їм сили цивільного захисту, підприємства, установи та організації галузі, їх сили і засоби.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       Територіальні підсистеми єдиної державної системи цивільного захисту діють в Автономній Республіці Крим, областях, містах Києві та Севастополі.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      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Підрозділ освіти територіальної громади є складовою частиною  функціональної підсистеми МОН України на місцевому рівні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, та, разом з тим,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входить до складу відповідної ланки територіальної підсистеми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, виконуючи рішення місцевої комісії з питань техногенно-екологічної безпеки та надзвичайних ситуацій.</w:t>
      </w:r>
    </w:p>
    <w:p w14:paraId="00000009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6221095" cy="6717665"/>
            <wp:effectExtent l="0" t="0" r="0" b="0"/>
            <wp:docPr id="3" name="image2.jpg" descr="https://rozvytok-osvity.te.ua/wp-content/uploads/2022/08/2-1-1024x7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 descr="https://rozvytok-osvity.te.ua/wp-content/uploads/2022/08/2-1-1024x70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1245" cy="671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 xml:space="preserve">       Слід звернути увагу на: </w:t>
      </w:r>
    </w:p>
    <w:p w14:paraId="0000000B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343434"/>
          <w:sz w:val="32"/>
          <w:szCs w:val="32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  <w:rtl w:val="0"/>
        </w:rPr>
        <w:t xml:space="preserve">Розпорядження Кабінету міністрів України «Про затвердження плану основних заходів цивільного захисту України на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  <w:rtl w:val="0"/>
        </w:rPr>
        <w:t>2025 рік від 24 грудня 2024 р. № 1313-р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343434"/>
          <w:sz w:val="32"/>
          <w:szCs w:val="32"/>
          <w:u w:val="none"/>
          <w:shd w:val="clear" w:fill="auto"/>
          <w:vertAlign w:val="baseline"/>
          <w:rtl w:val="0"/>
        </w:rPr>
        <w:t xml:space="preserve"> </w:t>
      </w:r>
    </w:p>
    <w:p w14:paraId="0000000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6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343434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343434"/>
          <w:sz w:val="32"/>
          <w:szCs w:val="32"/>
          <w:u w:val="none"/>
          <w:shd w:val="clear" w:fill="auto"/>
          <w:vertAlign w:val="baseline"/>
          <w:rtl w:val="0"/>
        </w:rPr>
        <w:t>Організаційно-методичні вказівки з підготовки населення до дій у надзвичайних ситуаціях на 2024 –2025 роки, що затверджені наказом ДСНС від 03.01.2024 № 8 (додається).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Роботу з цивільного захисту слід організувати відповідно до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Плану основних заходів цивільного захисту Міністерства освіти і науки України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, 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наказів департаменту освіти і науки   органів управління освітою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 територіальних громад області,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рішень місцевих комісій з питань техногенно-екологічної безпеки та надзвичайних ситуацій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: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1) на підставі законодавчих та нормативних актів у сфері цивільного захисту розробити документи з питань цивільного захисту для закладу освіти, для практичної реалізації всіх завдань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створити комісії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, покликані допомогти керівникові при загрозі та виникненні надзвичайних ситуацій  техногенного та природного характеру. На забезпечення виконання завдань ЦЗ спрямована діяльність двох комісій: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з питань надзвичайних ситуацій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 та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з питань евакуації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;</w:t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2)налагодити систему управління, оповіщення та зв’язку, забезпечити учасників освітнього процесу засобами захисту, організувати матеріально-технічне забезпечення з цивільного захисту, протипожежне забезпечення закладу освіти;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3) з метою забезпечення стійкого функціонування об’єктів освіти в умовах воєнного стану, створення безпечного освітнього середовища та збереження життя і здоров’я учасників освітнього процесу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здійснити заходи щодо приведення фонду захисних споруд цивільного захисту закладів освіти у готовність до використання за призначенням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: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–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приведення у готовність існуючих захисних споруд цивільного захисту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 згідно з нормами Вимог щодо утримання та експлуатації захисних споруд цивільного захисту;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–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створення та поповнення фонду захисних споруд цивільного захисту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 шляхом обстеження, облаштування та взяття на облік підземних та наземних будівель і споруд закладів освіти для використання їх як споруд подвійного призначення та найпростіших укриттів.</w:t>
      </w:r>
    </w:p>
    <w:p w14:paraId="0000001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drawing>
          <wp:inline distT="0" distB="0" distL="0" distR="0">
            <wp:extent cx="6184900" cy="3126105"/>
            <wp:effectExtent l="25400" t="25400" r="38100" b="33655"/>
            <wp:docPr id="4" name="image1.jpg" descr="https://rozvytok-osvity.te.ua/wp-content/uploads/2022/08/3-2-1024x5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https://rozvytok-osvity.te.ua/wp-content/uploads/2022/08/3-2-1024x57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32" cy="3126235"/>
                    </a:xfrm>
                    <a:prstGeom prst="rect">
                      <a:avLst/>
                    </a:prstGeom>
                    <a:ln w="25400">
                      <a:solidFill>
                        <a:srgbClr val="F9FBF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  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0A161F"/>
          <w:vertAlign w:val="baseline"/>
          <w:rtl w:val="0"/>
        </w:rPr>
        <w:t>    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0A161F"/>
          <w:vertAlign w:val="baseline"/>
          <w:rtl w:val="0"/>
        </w:rPr>
        <w:t>Засновник закладу освіти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0A161F"/>
          <w:vertAlign w:val="baseline"/>
          <w:rtl w:val="0"/>
        </w:rPr>
        <w:t> має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32"/>
          <w:szCs w:val="32"/>
          <w:u w:val="none"/>
          <w:shd w:val="clear" w:fill="0A161F"/>
          <w:vertAlign w:val="baseline"/>
          <w:rtl w:val="0"/>
        </w:rPr>
        <w:t>сприяти організації та проведенню ко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0A161F"/>
          <w:vertAlign w:val="baseline"/>
          <w:rtl w:val="0"/>
        </w:rPr>
        <w:t>мпл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ексу заходів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, щоб привести захисні споруди у готовність до використання за призначенням, 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забезпечити фінансування заходів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щодо відновлення функціонування та  утримання захисних споруд цивільного захисту, залучення для цих потреб усіх незаборонених законодавством джерел фінансування;</w:t>
      </w: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4) керівник закладу освіти має організувати проведення навчання з питань цивільного захисту з учасниками освітнього процесу, практичні тренування з безпечної та швидкої евакуації учасників освітнього процесу (не рідше одного разу на пів року, а в установах сезонного типу – на початку кожної зміни). Також слід провести День цивільного захисту й Тиждень знань з основ безпеки життєдіяльності – в закладах загальної середньої та професійної (професійно-технічної) освіти. У закладах 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  <w:rtl w:val="0"/>
        </w:rPr>
        <w:t>ошкільної освіти –  Тиждень безпеки дитини.</w:t>
      </w: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A161F"/>
          <w:sz w:val="32"/>
          <w:szCs w:val="32"/>
          <w:u w:val="none"/>
          <w:shd w:val="clear" w:fill="auto"/>
          <w:vertAlign w:val="baseline"/>
          <w:rtl w:val="0"/>
        </w:rPr>
        <w:t>Завдання керівника закладу освіти з цивільного захисту</w:t>
      </w:r>
    </w:p>
    <w:tbl>
      <w:tblPr>
        <w:tblStyle w:val="22"/>
        <w:tblW w:w="96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5"/>
        <w:gridCol w:w="4536"/>
      </w:tblGrid>
      <w:tr w14:paraId="37885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7">
            <w:pPr>
              <w:spacing w:after="3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Що зробити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8">
            <w:pPr>
              <w:spacing w:after="3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 w:val="0"/>
              </w:rPr>
              <w:t>Яким нормативним документом керуватися</w:t>
            </w:r>
          </w:p>
        </w:tc>
      </w:tr>
      <w:tr w14:paraId="210A1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9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Забезпечити виконання заходів з ЦЗ: Видати наказ ,,Про організацію та ведення ЦЗ”, призначити відповідальних осіб з питань ЦЗ. Видати наказ ,,Про підсумки виконання основних заходів з ЦЗ за 202_ рік та завдання на 202_ рік”, розробити та затвердити </w:t>
            </w:r>
            <w:r>
              <w:rPr>
                <w:b/>
                <w:sz w:val="32"/>
                <w:szCs w:val="32"/>
                <w:rtl w:val="0"/>
              </w:rPr>
              <w:t>План основних заходів цивільного захисту на рік</w:t>
            </w:r>
            <w:r>
              <w:rPr>
                <w:sz w:val="32"/>
                <w:szCs w:val="32"/>
                <w:rtl w:val="0"/>
              </w:rPr>
              <w:t>. Розробити </w:t>
            </w:r>
            <w:r>
              <w:rPr>
                <w:b/>
                <w:sz w:val="32"/>
                <w:szCs w:val="32"/>
                <w:rtl w:val="0"/>
              </w:rPr>
              <w:t>План реагування на надзвичайні ситуації</w:t>
            </w:r>
            <w:r>
              <w:rPr>
                <w:sz w:val="32"/>
                <w:szCs w:val="32"/>
                <w:rtl w:val="0"/>
              </w:rPr>
              <w:t>  (заклади освіти  з чисельністю працюючого персоналу понад 50 осіб), </w:t>
            </w:r>
            <w:r>
              <w:rPr>
                <w:b/>
                <w:sz w:val="32"/>
                <w:szCs w:val="32"/>
                <w:rtl w:val="0"/>
              </w:rPr>
              <w:t>Інструкцію щодо дій персоналу у разі загрози або виникнення надзвичайних ситуацій</w:t>
            </w:r>
            <w:r>
              <w:rPr>
                <w:sz w:val="32"/>
                <w:szCs w:val="32"/>
                <w:rtl w:val="0"/>
              </w:rPr>
              <w:t> (заклади освіти  з чисельністю працюючого персоналу 50 осіб і менше) 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A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Кодекс цивільного захисту України   Положення про єдину державну систему цивільного захисту, затверджене постановою КМУ від 09.01.2014 № 11  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затверджене наказом МОН України від 21.11.2016 № 1400   Постанова КМУ від 09.08.2017 № 626 ,,Про затвердження Порядку розроблення планів діяльності єдиної державної системи цивільного захисту”</w:t>
            </w:r>
          </w:p>
        </w:tc>
      </w:tr>
      <w:tr w14:paraId="2D6F3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B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Забезпечити працівників засобами колективного та індивідуального захисту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C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Порядок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контролю, затверджений постановою КМУ від 19.08.2002 № 1200</w:t>
            </w:r>
          </w:p>
        </w:tc>
      </w:tr>
      <w:tr w14:paraId="6D308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D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Розмістити інформацію про заходи безпеки та дії у разі виникнення надзвичайної ситуації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E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ДСТУ EN ISO 7010:2019 ,,Графічні символи. Кольори та знаки безпеки”</w:t>
            </w:r>
          </w:p>
        </w:tc>
      </w:tr>
      <w:tr w14:paraId="70F9C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1F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Організовувати та здійснювати під час надзвичайних ситуацій евакуаційні заходи щодо працівників, здобувачів освіти та майна закладу освіти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0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Порядок проведення евакуації у разі загрози виникнення або виникнення надзвичайних ситуацій, затверджений постановою КМУ від 30.10.2013 № 841</w:t>
            </w:r>
          </w:p>
        </w:tc>
      </w:tr>
      <w:tr w14:paraId="1C26C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1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Створити сили цивільного захистушляхом формування ланок: пожежогасіння; медичної (надання домедичної допомоги); охорони публічного (громадського) порядку; зв’язку та оповіщення; обслуговування захисних споруд (при їх наявності), інші (за потребою) (в закладах освіти з чисельністю працюючого персоналу більше 50 осіб). Призначати відповідальних осіб, які при проведенні заходів з цивільного захисту можуть забезпечувати пожежогасіння, надання домедичної допомоги, охорону публічного (громадського) порядку, зв’язок та оповіщення, обслуговування захисних споруд (при їх наявності),інші (за потребою) (в закладах освіти з чисельністю працюючого персоналу до 50 осіб).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2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затверджене наказом МОН України від 21.11.2016 № 1400</w:t>
            </w:r>
          </w:p>
        </w:tc>
      </w:tr>
      <w:tr w14:paraId="1EA7D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3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Навчати працівників, учнів, дітей дошкільного віку з питань ЦЗ, зокрема правилам техногенної та пожежної безпеки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4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Порядок здійснення навчання населення діям у надзвичайних ситуаціях, затверджений постановою КМУ від 26.06.2013 № 444   Наказ ДСНС України від 08.08.2014      № 458</w:t>
            </w:r>
          </w:p>
        </w:tc>
      </w:tr>
      <w:tr w14:paraId="79691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5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Проводити об’єктові тренування з питань ЦЗ (в рамках проведення Дня цивільного захисту та Тижня безпеки дитини)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6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Порядок здійснення навчання населення діям у надзвичайних ситуаціях, затверджений постановою КМУ від 26.06.2013 № 444  </w:t>
            </w:r>
          </w:p>
        </w:tc>
      </w:tr>
      <w:tr w14:paraId="78CE7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7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Обладнати  інформаційно-довідковий куточок з питань цивільного захисту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8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Порядок здійснення навчання населення діям у надзвичайних ситуаціях, затверджений постановою КМУ від 26.06.2013 № 444</w:t>
            </w:r>
          </w:p>
        </w:tc>
      </w:tr>
      <w:tr w14:paraId="02CA4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9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Забезпечити дотримання вимог законодавства щодо створення, утримання, використання та реконструкції захисних споруд ЦЗ. Обліковувати захисні споруди ЦЗ, які перебувають на балансі (утриманні)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A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Порядок створення, утримання фонду захисних споруд цивільного захисту та ведення його обліку, затверджений постановою КМУ від 10.03.2017 № 138   Наказ МВС України від 09.07.2018  № 579</w:t>
            </w:r>
          </w:p>
        </w:tc>
      </w:tr>
      <w:tr w14:paraId="36832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B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Розробити й затвердити інструкції та видати накази з питань пожежної безпеки. Контролювати їх виконання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C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Правила пожежної безпеки для навчальних закладів та установ системи освіти України, затверджені наказом МОН України від 15.08.2016 № 974   Порядок здійснення навчання населення діям у надзвичайних ситуаціях, затверджений постановою КМУ від 26.06.2013 № 444</w:t>
            </w:r>
          </w:p>
        </w:tc>
      </w:tr>
      <w:tr w14:paraId="7D29C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0" w:hRule="atLeast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D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Забезпечити виконання вимог законодавства у сфері техногенної та пожежної безпеки, вимог приписів, постанов та розпоряджень центрального органу виконавчої влади, який здійснює державний нагляд у сферах техногенної та пожежної безпеки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E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Правила пожежної безпеки для навчальних закладів та установ системи освіти України, затверджені наказом МОН України від 15.08.2016 № 974   Правила пожежної безпеки в Україні, затверджені наказом МВС України від 30.12.2014 № 1417 Правила техногенної безпеки, затверджені наказом МВС України від 05.11.2018 № 879</w:t>
            </w:r>
          </w:p>
        </w:tc>
      </w:tr>
      <w:tr w14:paraId="7E983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2F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Утримувати у справному стані засоби цивільного та протипожежного захисту, не використовувати їх не за призначенням. Здійснювати заходи щодо впровадження автоматичних засобів виявлення та гасіння пожеж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30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Правила пожежної безпеки для навчальних закладів та установ системи освіти України, затверджені наказом МОН України від 15.08.2016 № 974   ДБН В.2.5-56:2014 ,,Системи протипожежного захисту”</w:t>
            </w:r>
          </w:p>
        </w:tc>
      </w:tr>
      <w:tr w14:paraId="2A109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8" w:hRule="atLeast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31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Здійснювати заходи ЦЗ, що зменшують рівень ризику виникнення надзвичайних ситуацій. Виконувати інші завдання й заходи у сфері ЦЗ, передбачені законодавчими, нормативно-правовими документами з питань цивільного захисту, техногенної та пожежної безпеки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</w:tcPr>
          <w:p w14:paraId="00000032">
            <w:pPr>
              <w:spacing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  <w:rtl w:val="0"/>
              </w:rPr>
              <w:t>Кодекс цивільного захисту України  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затверджене наказом МОН України від 21.11.2016  № 1400</w:t>
            </w:r>
          </w:p>
        </w:tc>
      </w:tr>
    </w:tbl>
    <w:p w14:paraId="00000033"/>
    <w:p w14:paraId="0000003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80" w:after="36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A161F"/>
          <w:sz w:val="28"/>
          <w:szCs w:val="28"/>
          <w:u w:val="none"/>
          <w:shd w:val="clear" w:fill="auto"/>
          <w:vertAlign w:val="baseline"/>
        </w:rPr>
      </w:pPr>
    </w:p>
    <w:p w14:paraId="00000035"/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8EC1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1"/>
    <w:qFormat/>
    <w:uiPriority w:val="0"/>
  </w:style>
  <w:style w:type="character" w:customStyle="1" w:styleId="16">
    <w:name w:val="Заголовок 2 Знак"/>
    <w:basedOn w:val="8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7">
    <w:name w:val="entry-meta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posted-on"/>
    <w:basedOn w:val="8"/>
    <w:qFormat/>
    <w:uiPriority w:val="0"/>
  </w:style>
  <w:style w:type="character" w:customStyle="1" w:styleId="19">
    <w:name w:val="byline"/>
    <w:basedOn w:val="8"/>
    <w:qFormat/>
    <w:uiPriority w:val="0"/>
  </w:style>
  <w:style w:type="character" w:customStyle="1" w:styleId="20">
    <w:name w:val="author"/>
    <w:basedOn w:val="8"/>
    <w:qFormat/>
    <w:uiPriority w:val="0"/>
  </w:style>
  <w:style w:type="character" w:customStyle="1" w:styleId="21">
    <w:name w:val="screen-reader-text"/>
    <w:basedOn w:val="8"/>
    <w:qFormat/>
    <w:uiPriority w:val="0"/>
  </w:style>
  <w:style w:type="table" w:customStyle="1" w:styleId="22">
    <w:name w:val="_Style 23"/>
    <w:basedOn w:val="15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GiW5SFKfOdSXdq/UrkS9dvXvrA==">CgMxLjAyCGguZ2pkZ3hzOAByITFaWXAwbURJTUVLczAwV0M2ZnllUURBNkRuZ0F3ZnNpZw==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2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2024-01-22T21:54:00Z</dcterms:created>
  <dc:creator>Пользователь</dc:creator>
  <cp:lastModifiedBy>ПК</cp:lastModifiedBy>
  <cp:lastPrinted>2025-03-17T12:07:34Z</cp:lastPrinted>
  <dcterms:modified xsi:type="dcterms:W3CDTF">2025-03-17T12:10:16Z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122647C6C2144C3DAFFA8A92B9FDEC94_12</vt:lpwstr>
  </property>
</Properties>
</file>