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before="20" w:after="20"/>
        <w:ind w:right="-6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10"/>
        <w:tabs>
          <w:tab w:val="left" w:pos="0"/>
        </w:tabs>
        <w:spacing w:before="20" w:after="20" w:line="360" w:lineRule="auto"/>
        <w:ind w:left="0" w:right="-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Функціональні обов’язки особового складу формувань </w:t>
      </w:r>
    </w:p>
    <w:p>
      <w:pPr>
        <w:pStyle w:val="10"/>
        <w:tabs>
          <w:tab w:val="left" w:pos="0"/>
        </w:tabs>
        <w:spacing w:before="20" w:after="20" w:line="360" w:lineRule="auto"/>
        <w:ind w:left="0" w:right="-63"/>
        <w:jc w:val="center"/>
        <w:rPr>
          <w:sz w:val="24"/>
          <w:szCs w:val="24"/>
        </w:rPr>
      </w:pPr>
      <w:r>
        <w:rPr>
          <w:sz w:val="24"/>
          <w:szCs w:val="24"/>
        </w:rPr>
        <w:t>з обслуговування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захисних споруд і дії їх окремих постів</w:t>
      </w:r>
    </w:p>
    <w:p>
      <w:pPr>
        <w:pStyle w:val="10"/>
        <w:tabs>
          <w:tab w:val="left" w:pos="0"/>
        </w:tabs>
        <w:spacing w:before="20" w:after="20" w:line="276" w:lineRule="auto"/>
        <w:ind w:left="0" w:right="-63"/>
        <w:rPr>
          <w:sz w:val="24"/>
          <w:szCs w:val="24"/>
        </w:rPr>
      </w:pPr>
    </w:p>
    <w:p>
      <w:pPr>
        <w:pStyle w:val="4"/>
        <w:tabs>
          <w:tab w:val="left" w:pos="0"/>
        </w:tabs>
        <w:spacing w:before="20" w:after="20"/>
        <w:ind w:right="-6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Особовий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формування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обслуговування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захисної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споруди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зобов’язаний: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109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вимоги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щодо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утримання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сховищ,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уміти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користуватися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інженерно-технічним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обладнанням,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установленим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захисних спорудах; 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102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конструкцію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уміти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користуватися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тамбур-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шлюзом аварійного виходу, знати розміщення запірної арматури інженерних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комунікацій;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994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уміти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користуватися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контрольно-вимірювальними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приладами;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143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негайно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виконувати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розпорядження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командира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формування.</w:t>
      </w:r>
    </w:p>
    <w:p>
      <w:pPr>
        <w:pStyle w:val="11"/>
        <w:tabs>
          <w:tab w:val="left" w:pos="0"/>
        </w:tabs>
        <w:spacing w:before="20" w:after="20" w:line="276" w:lineRule="auto"/>
        <w:ind w:left="0" w:right="-6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 із</w:t>
      </w:r>
      <w:r>
        <w:rPr>
          <w:i w:val="0"/>
          <w:spacing w:val="-3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заповнення</w:t>
      </w:r>
      <w:r>
        <w:rPr>
          <w:i w:val="0"/>
          <w:spacing w:val="-2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і</w:t>
      </w:r>
      <w:r>
        <w:rPr>
          <w:i w:val="0"/>
          <w:spacing w:val="-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розміщення</w:t>
      </w:r>
      <w:r>
        <w:rPr>
          <w:i w:val="0"/>
          <w:spacing w:val="-2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осіб,</w:t>
      </w:r>
      <w:r>
        <w:rPr>
          <w:i w:val="0"/>
          <w:spacing w:val="-5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що</w:t>
      </w:r>
      <w:r>
        <w:rPr>
          <w:i w:val="0"/>
          <w:spacing w:val="-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укриваються</w:t>
      </w:r>
      <w:r>
        <w:rPr>
          <w:i w:val="0"/>
          <w:spacing w:val="-2"/>
          <w:sz w:val="24"/>
          <w:szCs w:val="24"/>
        </w:rPr>
        <w:t>: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40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забезпечує</w:t>
      </w:r>
      <w:r>
        <w:rPr>
          <w:rFonts w:ascii="Times New Roman" w:hAnsi="Times New Roman"/>
          <w:spacing w:val="4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звільнення</w:t>
      </w:r>
      <w:r>
        <w:rPr>
          <w:rFonts w:ascii="Times New Roman" w:hAnsi="Times New Roman"/>
          <w:spacing w:val="43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захисної</w:t>
      </w:r>
      <w:r>
        <w:rPr>
          <w:rFonts w:ascii="Times New Roman" w:hAnsi="Times New Roman"/>
          <w:spacing w:val="4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споруди</w:t>
      </w:r>
      <w:r>
        <w:rPr>
          <w:rFonts w:ascii="Times New Roman" w:hAnsi="Times New Roman"/>
          <w:spacing w:val="4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pacing w:val="43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майна,</w:t>
      </w:r>
      <w:r>
        <w:rPr>
          <w:rFonts w:ascii="Times New Roman" w:hAnsi="Times New Roman"/>
          <w:spacing w:val="4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розміщує</w:t>
      </w:r>
      <w:r>
        <w:rPr>
          <w:rFonts w:ascii="Times New Roman" w:hAnsi="Times New Roman"/>
          <w:spacing w:val="4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нари</w:t>
      </w:r>
      <w:r>
        <w:rPr>
          <w:rFonts w:ascii="Times New Roman" w:hAnsi="Times New Roman"/>
          <w:spacing w:val="4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pacing w:val="-67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виконує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інші заходи</w:t>
      </w:r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приміщеннях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для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осіб,</w:t>
      </w:r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що укриваються;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135"/>
          <w:tab w:val="left" w:pos="1136"/>
          <w:tab w:val="left" w:pos="2483"/>
          <w:tab w:val="left" w:pos="3943"/>
          <w:tab w:val="left" w:pos="4967"/>
          <w:tab w:val="left" w:pos="5975"/>
          <w:tab w:val="left" w:pos="6470"/>
          <w:tab w:val="left" w:pos="7783"/>
          <w:tab w:val="left" w:pos="8433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перевіряє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готовність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дверей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(воріт)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закриття,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виявленні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несправностей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усуває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їх;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18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позначає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маршрути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руху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осіб,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укриваються,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споруди; організовує зустріч, приймання і розміщення осіб, що укриваються 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відсіках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 споруди;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994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закриває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двері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(ворота)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входів;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40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забезпечує пропускання людей у сховище через тамбур-шлюзи після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закриття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 споруди;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994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слідкує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відсіках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споруди;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994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забезпечує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охорону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входів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аварійного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виходу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споруди;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56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організовує вихід осіб, що укриваються, через входи або аварійний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вихід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 споруди.</w:t>
      </w:r>
    </w:p>
    <w:p>
      <w:pPr>
        <w:pStyle w:val="11"/>
        <w:tabs>
          <w:tab w:val="left" w:pos="0"/>
        </w:tabs>
        <w:spacing w:before="20" w:after="20" w:line="276" w:lineRule="auto"/>
        <w:ind w:left="0" w:right="-6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 електропостачання</w:t>
      </w:r>
      <w:r>
        <w:rPr>
          <w:i w:val="0"/>
          <w:spacing w:val="-5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(електрик,</w:t>
      </w:r>
      <w:r>
        <w:rPr>
          <w:i w:val="0"/>
          <w:spacing w:val="-6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електрик-моторист):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253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обслуговує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дизельну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електростанцію,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електричну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мережу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електрообладнання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 споруди;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71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забезпечує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справність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аварійного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освітлення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його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виході 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ладу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інших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джерел.</w:t>
      </w:r>
    </w:p>
    <w:p>
      <w:pPr>
        <w:pStyle w:val="11"/>
        <w:tabs>
          <w:tab w:val="left" w:pos="0"/>
        </w:tabs>
        <w:spacing w:before="20" w:after="20" w:line="276" w:lineRule="auto"/>
        <w:ind w:left="0" w:right="-6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 з обслуговування фільтровентиляційного обладнання (слюсар з</w:t>
      </w:r>
      <w:r>
        <w:rPr>
          <w:i w:val="0"/>
          <w:spacing w:val="-67"/>
          <w:sz w:val="24"/>
          <w:szCs w:val="24"/>
        </w:rPr>
        <w:t xml:space="preserve">    </w:t>
      </w:r>
      <w:r>
        <w:rPr>
          <w:i w:val="0"/>
          <w:sz w:val="24"/>
          <w:szCs w:val="24"/>
        </w:rPr>
        <w:t>вентиляції):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112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забезпечує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роботу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повітропостачання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режимах,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слідкує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захисно-герметичних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пристроїв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усуває їх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несправності;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133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контролює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кількість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повітря,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подається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періодично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перевіряє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його підпір;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59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слідкує за рівномірним розподілом повітря в окремих приміщеннях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(відсіках)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 споруди;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76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вимірює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температуру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повітря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кожні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режимі II — через кожні 2 год, режимі III — через кожну 1 год), відносну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вологість повітря (через кожні 4 год), газовий склад повітря (при режимі I 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рідше ніж 1 раз на 12 год, при режимі II — через кожні 2 год, при режимі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III — через кожну 1 год). За наявності пожеж у зоні, де знаходиться захисна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споруда, аналіз газового складу повітря повинен проводитися через кожні 30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хв. У випадку досягнення у захисній споруді граничнодопустимих величин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параметрів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мікроклімату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складу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повітря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негайно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доповідає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заступнику командира </w:t>
      </w:r>
      <w:r>
        <w:rPr>
          <w:rFonts w:ascii="Times New Roman" w:hAnsi="Times New Roman"/>
          <w:sz w:val="24"/>
          <w:szCs w:val="24"/>
          <w:lang w:val="uk-UA"/>
        </w:rPr>
        <w:t xml:space="preserve">формування. </w:t>
      </w:r>
      <w:r>
        <w:rPr>
          <w:rFonts w:ascii="Times New Roman" w:hAnsi="Times New Roman"/>
          <w:sz w:val="24"/>
          <w:szCs w:val="24"/>
        </w:rPr>
        <w:t>Результати вимірів заносять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спеціальний журнал.</w:t>
      </w:r>
    </w:p>
    <w:p>
      <w:pPr>
        <w:pStyle w:val="11"/>
        <w:tabs>
          <w:tab w:val="left" w:pos="0"/>
        </w:tabs>
        <w:spacing w:before="20" w:after="20" w:line="276" w:lineRule="auto"/>
        <w:ind w:left="0" w:right="-6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 з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водопостачання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і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каналізації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(слюсар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з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водопроводу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і</w:t>
      </w:r>
      <w:r>
        <w:rPr>
          <w:i w:val="0"/>
          <w:spacing w:val="-67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каналізації):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32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забезпечує справність систем водопостачання і каналізації у захисній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споруді;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145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організовує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роздачу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питної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ємкостей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запасу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знаходяться у захисній споруді (при відсутності або виході із ладу зовнішньої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водопровідної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мережі);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06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слідкує за порядком у санітарних вузлах захисної споруди, організовує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збір відходів.</w:t>
      </w:r>
    </w:p>
    <w:p>
      <w:pPr>
        <w:pStyle w:val="11"/>
        <w:tabs>
          <w:tab w:val="left" w:pos="0"/>
        </w:tabs>
        <w:spacing w:before="20" w:after="20" w:line="276" w:lineRule="auto"/>
        <w:ind w:left="0" w:right="-6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 зв’язку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і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розвідки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(телефоніст,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розвідник-хімік,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розвідник-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дозиметрист):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64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забезпечує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зв’язок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керівником суб”єкту господарювання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(району,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міста);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994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утримує 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справності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засоби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оповіщення;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205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контролює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забруднення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повітря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радіоактивними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отруйними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речовинами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усередині захисної споруди;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04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радіаційну і хімічну розвідку поза спорудою і на маршрутах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евакуації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зони ураження;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994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забезпечує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дозиметричний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осіб,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укриваються;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994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визначає придатність підвалів, цокольних поверхів та інших приміщень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розміщення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осіб,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укриваються,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випадку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непередбаченого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виводу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їх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із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 споруди.</w:t>
      </w:r>
    </w:p>
    <w:p>
      <w:pPr>
        <w:pStyle w:val="11"/>
        <w:tabs>
          <w:tab w:val="left" w:pos="0"/>
        </w:tabs>
        <w:spacing w:before="20" w:after="20" w:line="276" w:lineRule="auto"/>
        <w:ind w:left="0" w:right="-6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Медичний пост </w:t>
      </w:r>
      <w:r>
        <w:rPr>
          <w:i w:val="0"/>
          <w:spacing w:val="-2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(медична сестра):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13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доукомплектовує аптечки колективні, набори фельдшерські і лікарські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16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забезпечує постійний нагляд за поведінкою і станом здоров’я осіб, що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укриваються,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виявлення 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ізоляції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хворих;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18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надає першу медичну допомогу ураженим і хворим, які знаходяться 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захисній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споруді;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994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контролює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санітарний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споруди;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78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забезпечує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санітарний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нагляд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зберіганням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роздачею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харчування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питної води;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47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оцінює загальний стан і здоров’я осіб, що укриваються, та визначає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можливі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строки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їх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перебування 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захисній споруді;</w:t>
      </w:r>
    </w:p>
    <w:p>
      <w:pPr>
        <w:pStyle w:val="8"/>
        <w:widowControl w:val="0"/>
        <w:numPr>
          <w:ilvl w:val="1"/>
          <w:numId w:val="1"/>
        </w:numPr>
        <w:tabs>
          <w:tab w:val="left" w:pos="0"/>
          <w:tab w:val="left" w:pos="1011"/>
        </w:tabs>
        <w:autoSpaceDE w:val="0"/>
        <w:autoSpaceDN w:val="0"/>
        <w:spacing w:before="20" w:after="20"/>
        <w:ind w:left="0" w:right="-6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супроводжує (при евакуації із захисної споруди) хворих і уражених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збору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уражених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місце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отримання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першої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медичної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допомоги.</w:t>
      </w:r>
    </w:p>
    <w:p>
      <w:pPr>
        <w:pStyle w:val="11"/>
        <w:tabs>
          <w:tab w:val="left" w:pos="0"/>
        </w:tabs>
        <w:spacing w:before="20" w:after="20" w:line="276" w:lineRule="auto"/>
        <w:ind w:left="0" w:right="-62" w:firstLine="567"/>
        <w:rPr>
          <w:b w:val="0"/>
          <w:i w:val="0"/>
          <w:sz w:val="24"/>
          <w:szCs w:val="24"/>
        </w:rPr>
        <w:sectPr>
          <w:headerReference r:id="rId5" w:type="default"/>
          <w:pgSz w:w="11900" w:h="16840"/>
          <w:pgMar w:top="1134" w:right="567" w:bottom="1134" w:left="1701" w:header="710" w:footer="1149" w:gutter="0"/>
          <w:cols w:space="720" w:num="1"/>
          <w:docGrid w:linePitch="299" w:charSpace="0"/>
        </w:sectPr>
      </w:pPr>
      <w:r>
        <w:rPr>
          <w:i w:val="0"/>
          <w:sz w:val="24"/>
          <w:szCs w:val="24"/>
        </w:rPr>
        <w:t>Ланка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організації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харчування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організовує</w:t>
      </w:r>
      <w:r>
        <w:rPr>
          <w:b w:val="0"/>
          <w:i w:val="0"/>
          <w:spacing w:val="1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одержання</w:t>
      </w:r>
      <w:r>
        <w:rPr>
          <w:b w:val="0"/>
          <w:i w:val="0"/>
          <w:spacing w:val="1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і</w:t>
      </w:r>
      <w:r>
        <w:rPr>
          <w:b w:val="0"/>
          <w:i w:val="0"/>
          <w:spacing w:val="1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закладення</w:t>
      </w:r>
      <w:r>
        <w:rPr>
          <w:b w:val="0"/>
          <w:i w:val="0"/>
          <w:spacing w:val="1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запасів</w:t>
      </w:r>
      <w:r>
        <w:rPr>
          <w:b w:val="0"/>
          <w:i w:val="0"/>
          <w:spacing w:val="1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продовольства,</w:t>
      </w:r>
      <w:r>
        <w:rPr>
          <w:b w:val="0"/>
          <w:i w:val="0"/>
          <w:spacing w:val="1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фасування</w:t>
      </w:r>
      <w:r>
        <w:rPr>
          <w:b w:val="0"/>
          <w:i w:val="0"/>
          <w:spacing w:val="1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та</w:t>
      </w:r>
      <w:r>
        <w:rPr>
          <w:b w:val="0"/>
          <w:i w:val="0"/>
          <w:spacing w:val="1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видачу</w:t>
      </w:r>
      <w:r>
        <w:rPr>
          <w:b w:val="0"/>
          <w:i w:val="0"/>
          <w:spacing w:val="1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його</w:t>
      </w:r>
      <w:r>
        <w:rPr>
          <w:b w:val="0"/>
          <w:i w:val="0"/>
          <w:spacing w:val="1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особам,</w:t>
      </w:r>
      <w:r>
        <w:rPr>
          <w:b w:val="0"/>
          <w:i w:val="0"/>
          <w:spacing w:val="1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що</w:t>
      </w:r>
      <w:r>
        <w:rPr>
          <w:b w:val="0"/>
          <w:i w:val="0"/>
          <w:spacing w:val="1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укриваються.</w:t>
      </w:r>
    </w:p>
    <w:p>
      <w:pPr>
        <w:spacing w:before="20" w:after="20"/>
      </w:pPr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70655"/>
    <w:multiLevelType w:val="multilevel"/>
    <w:tmpl w:val="02470655"/>
    <w:lvl w:ilvl="0" w:tentative="0">
      <w:start w:val="1"/>
      <w:numFmt w:val="decimal"/>
      <w:lvlText w:val="%1."/>
      <w:lvlJc w:val="left"/>
      <w:pPr>
        <w:ind w:left="261" w:hanging="315"/>
      </w:pPr>
      <w:rPr>
        <w:rFonts w:hint="default"/>
        <w:b/>
        <w:bCs/>
        <w:spacing w:val="0"/>
        <w:w w:val="100"/>
        <w:lang w:val="uk-UA" w:eastAsia="en-US" w:bidi="ar-SA"/>
      </w:rPr>
    </w:lvl>
    <w:lvl w:ilvl="1" w:tentative="0">
      <w:start w:val="0"/>
      <w:numFmt w:val="bullet"/>
      <w:lvlText w:val="-"/>
      <w:lvlJc w:val="left"/>
      <w:pPr>
        <w:ind w:left="261" w:hanging="42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180" w:hanging="425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140" w:hanging="425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100" w:hanging="425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060" w:hanging="425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020" w:hanging="425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6980" w:hanging="425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7940" w:hanging="4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07EB3"/>
    <w:rsid w:val="00131573"/>
    <w:rsid w:val="004D0979"/>
    <w:rsid w:val="009E3CA2"/>
    <w:rsid w:val="00A07EB3"/>
    <w:rsid w:val="00BC42EF"/>
    <w:rsid w:val="2931065E"/>
    <w:rsid w:val="51565A03"/>
    <w:rsid w:val="54B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nhideWhenUsed/>
    <w:qFormat/>
    <w:uiPriority w:val="99"/>
    <w:pPr>
      <w:spacing w:after="120"/>
    </w:pPr>
    <w:rPr>
      <w:rFonts w:eastAsiaTheme="minorHAnsi"/>
      <w:lang w:val="ru-RU" w:eastAsia="en-US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styleId="7">
    <w:name w:val="Hyperlink"/>
    <w:basedOn w:val="2"/>
    <w:semiHidden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styleId="8">
    <w:name w:val="List Paragraph"/>
    <w:basedOn w:val="1"/>
    <w:qFormat/>
    <w:uiPriority w:val="1"/>
    <w:pPr>
      <w:ind w:left="720"/>
      <w:contextualSpacing/>
    </w:pPr>
    <w:rPr>
      <w:rFonts w:ascii="Calibri" w:hAnsi="Calibri" w:eastAsia="Calibri" w:cs="Times New Roman"/>
      <w:lang w:val="ru-RU" w:eastAsia="en-US"/>
    </w:rPr>
  </w:style>
  <w:style w:type="character" w:customStyle="1" w:styleId="9">
    <w:name w:val="Основной текст Знак"/>
    <w:basedOn w:val="2"/>
    <w:link w:val="4"/>
    <w:qFormat/>
    <w:uiPriority w:val="99"/>
    <w:rPr>
      <w:rFonts w:eastAsiaTheme="minorHAnsi"/>
      <w:lang w:val="ru-RU" w:eastAsia="en-US"/>
    </w:rPr>
  </w:style>
  <w:style w:type="paragraph" w:customStyle="1" w:styleId="10">
    <w:name w:val="Heading 11"/>
    <w:basedOn w:val="1"/>
    <w:qFormat/>
    <w:uiPriority w:val="1"/>
    <w:pPr>
      <w:widowControl w:val="0"/>
      <w:autoSpaceDE w:val="0"/>
      <w:autoSpaceDN w:val="0"/>
      <w:spacing w:after="0" w:line="240" w:lineRule="auto"/>
      <w:ind w:left="26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eastAsia="en-US"/>
    </w:rPr>
  </w:style>
  <w:style w:type="paragraph" w:customStyle="1" w:styleId="11">
    <w:name w:val="Heading 21"/>
    <w:basedOn w:val="1"/>
    <w:qFormat/>
    <w:uiPriority w:val="1"/>
    <w:pPr>
      <w:widowControl w:val="0"/>
      <w:autoSpaceDE w:val="0"/>
      <w:autoSpaceDN w:val="0"/>
      <w:spacing w:after="0" w:line="240" w:lineRule="auto"/>
      <w:ind w:left="261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eastAsia="en-US"/>
    </w:rPr>
  </w:style>
  <w:style w:type="character" w:customStyle="1" w:styleId="12">
    <w:name w:val="Верхний колонтитул Знак"/>
    <w:basedOn w:val="2"/>
    <w:link w:val="6"/>
    <w:qFormat/>
    <w:uiPriority w:val="99"/>
  </w:style>
  <w:style w:type="character" w:customStyle="1" w:styleId="13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7345</Words>
  <Characters>4187</Characters>
  <Lines>34</Lines>
  <Paragraphs>23</Paragraphs>
  <TotalTime>23</TotalTime>
  <ScaleCrop>false</ScaleCrop>
  <LinksUpToDate>false</LinksUpToDate>
  <CharactersWithSpaces>11509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2023-09-17T12:44:00Z</dcterms:created>
  <dc:creator>ПК</dc:creator>
  <cp:lastModifiedBy>Галина Гальчишак</cp:lastModifiedBy>
  <cp:lastPrinted>2023-09-26T10:02:00Z</cp:lastPrinted>
  <dcterms:modified xsi:type="dcterms:W3CDTF">2024-02-16T15:58:28Z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FE7C8AFFCB1A4D5DBA4547495C7F7DE4_12</vt:lpwstr>
  </property>
</Properties>
</file>