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8256E8" w:rsidRPr="008256E8" w14:paraId="51196DBF" w14:textId="77777777" w:rsidTr="008256E8">
        <w:tc>
          <w:tcPr>
            <w:tcW w:w="16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C92EE8" w14:textId="22DD5801" w:rsidR="008256E8" w:rsidRPr="008256E8" w:rsidRDefault="008256E8" w:rsidP="008256E8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8256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3C818B48" wp14:editId="0AE5899F">
                  <wp:extent cx="5715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6E8" w:rsidRPr="008256E8" w14:paraId="6604F2D2" w14:textId="77777777" w:rsidTr="008256E8">
        <w:tc>
          <w:tcPr>
            <w:tcW w:w="16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940EB4" w14:textId="77777777" w:rsidR="008256E8" w:rsidRPr="008256E8" w:rsidRDefault="008256E8" w:rsidP="008256E8">
            <w:pPr>
              <w:spacing w:before="300" w:after="4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8256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Кодекс України про адміністративні правопорушення</w:t>
            </w:r>
            <w:r w:rsidRPr="008256E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8256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(статті 1 - 212</w:t>
            </w:r>
            <w:r w:rsidRPr="008256E8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/>
              </w:rPr>
              <w:t>-</w:t>
            </w:r>
            <w:r w:rsidRPr="008256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/>
              </w:rPr>
              <w:t>24</w:t>
            </w:r>
            <w:r w:rsidRPr="008256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)</w:t>
            </w:r>
          </w:p>
        </w:tc>
      </w:tr>
    </w:tbl>
    <w:p w14:paraId="66E43D8D" w14:textId="77777777" w:rsidR="008256E8" w:rsidRPr="008256E8" w:rsidRDefault="008256E8" w:rsidP="008256E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0" w:name="n3"/>
      <w:bookmarkEnd w:id="0"/>
      <w:r w:rsidRPr="008256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(</w:t>
      </w:r>
      <w:hyperlink r:id="rId5" w:tgtFrame="_blank" w:history="1">
        <w:r w:rsidRPr="008256E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ст.213 - ст.330</w:t>
        </w:r>
      </w:hyperlink>
      <w:r w:rsidRPr="008256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/>
        </w:rPr>
        <w:t>)</w:t>
      </w:r>
    </w:p>
    <w:p w14:paraId="5D1A2D34" w14:textId="77777777" w:rsidR="008256E8" w:rsidRPr="008256E8" w:rsidRDefault="008256E8" w:rsidP="008256E8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/>
        </w:rPr>
      </w:pPr>
      <w:bookmarkStart w:id="1" w:name="n4"/>
      <w:bookmarkEnd w:id="1"/>
      <w:r w:rsidRPr="008256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/>
        </w:rPr>
        <w:t>(Відомості Верховної Ради Української РСР (ВВР) 1984, додаток до № 51, ст.1122)</w:t>
      </w:r>
    </w:p>
    <w:p w14:paraId="5044FBB5" w14:textId="77777777" w:rsidR="008256E8" w:rsidRPr="008256E8" w:rsidRDefault="008256E8" w:rsidP="008256E8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/>
        </w:rPr>
      </w:pPr>
      <w:bookmarkStart w:id="2" w:name="n5"/>
      <w:bookmarkEnd w:id="2"/>
      <w:r w:rsidRPr="008256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/>
        </w:rPr>
        <w:t>{Вводиться в дію Постановою Верховної Ради Української РСР </w:t>
      </w:r>
      <w:hyperlink r:id="rId6" w:tgtFrame="_blank" w:history="1">
        <w:r w:rsidRPr="008256E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№ 8074-10 від 07.12.84</w:t>
        </w:r>
      </w:hyperlink>
      <w:r w:rsidRPr="008256E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/>
        </w:rPr>
        <w:t>, ВВР 1984, додаток до № 51, ст.1123}</w:t>
      </w:r>
    </w:p>
    <w:p w14:paraId="0179241A" w14:textId="77777777" w:rsidR="008256E8" w:rsidRPr="008256E8" w:rsidRDefault="008256E8" w:rsidP="008256E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/>
        </w:rPr>
      </w:pPr>
      <w:bookmarkStart w:id="3" w:name="n6"/>
      <w:bookmarkEnd w:id="3"/>
      <w:r w:rsidRPr="008256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/>
        </w:rPr>
        <w:t>{У  тексті Кодексу слова "Республіка Крим" у всіх відмінках замінено словами "Автономна Республіка Крим" у  відповідних відмінках згідно із Законом </w:t>
      </w:r>
      <w:hyperlink r:id="rId7" w:tgtFrame="_blank" w:history="1">
        <w:r w:rsidRPr="008256E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209/94-ВР від 14.10.94</w:t>
        </w:r>
      </w:hyperlink>
      <w:r w:rsidRPr="008256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/>
        </w:rPr>
        <w:t>}</w:t>
      </w:r>
    </w:p>
    <w:p w14:paraId="1F6AA8A7" w14:textId="77777777" w:rsidR="008256E8" w:rsidRPr="008256E8" w:rsidRDefault="008256E8" w:rsidP="008256E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/>
        </w:rPr>
      </w:pPr>
      <w:bookmarkStart w:id="4" w:name="n7"/>
      <w:bookmarkEnd w:id="4"/>
      <w:r w:rsidRPr="008256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/>
        </w:rPr>
        <w:t>{У тексті Кодексу слова "службова особа" в усіх відмінках замінено словами "посадова особа" у відповідних відмінках згідно із Законом </w:t>
      </w:r>
      <w:hyperlink r:id="rId8" w:tgtFrame="_blank" w:history="1">
        <w:r w:rsidRPr="008256E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/>
          </w:rPr>
          <w:t>№ 282/95-ВР від 11.07.95</w:t>
        </w:r>
      </w:hyperlink>
      <w:r w:rsidRPr="008256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/>
        </w:rPr>
        <w:t>}</w:t>
      </w:r>
    </w:p>
    <w:p w14:paraId="55FDC203" w14:textId="14CBE275" w:rsidR="00835CC4" w:rsidRDefault="00835CC4"/>
    <w:p w14:paraId="78A735D6" w14:textId="77777777" w:rsidR="00230F70" w:rsidRDefault="00230F70" w:rsidP="00230F70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 w:rsidRPr="00230F70">
        <w:rPr>
          <w:rStyle w:val="rvts9"/>
          <w:b/>
          <w:bCs/>
          <w:color w:val="333333"/>
          <w:sz w:val="28"/>
          <w:szCs w:val="28"/>
        </w:rPr>
        <w:t>Стаття 210</w:t>
      </w:r>
      <w:r>
        <w:rPr>
          <w:rStyle w:val="rvts9"/>
          <w:b/>
          <w:bCs/>
          <w:color w:val="333333"/>
        </w:rPr>
        <w:t>. Порушення призовниками, військовозобов’язаними, резервістами правил військового обліку</w:t>
      </w:r>
    </w:p>
    <w:p w14:paraId="41C94CE0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2429"/>
      <w:bookmarkEnd w:id="5"/>
      <w:r>
        <w:rPr>
          <w:color w:val="333333"/>
        </w:rPr>
        <w:t>Порушення призовниками, військовозобов’язаними, резервістами правил військового обліку -</w:t>
      </w:r>
    </w:p>
    <w:p w14:paraId="62970A36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2430"/>
      <w:bookmarkEnd w:id="6"/>
      <w:r>
        <w:rPr>
          <w:color w:val="333333"/>
        </w:rPr>
        <w:t>тягне за собою накладення штрафу від двохсот до трьохсот неоподатковуваних мінімумів доходів громадян.</w:t>
      </w:r>
    </w:p>
    <w:p w14:paraId="576F957A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2431"/>
      <w:bookmarkEnd w:id="7"/>
      <w:r>
        <w:rPr>
          <w:color w:val="333333"/>
        </w:rPr>
        <w:t>Повторне протягом року вчинення порушення, передбаченого частиною першою цієї статті, за яке особу вже було піддано адміністративному стягненню, -</w:t>
      </w:r>
    </w:p>
    <w:p w14:paraId="6EC65DAE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2432"/>
      <w:bookmarkEnd w:id="8"/>
      <w:r>
        <w:rPr>
          <w:color w:val="333333"/>
        </w:rPr>
        <w:t>тягне за собою накладення штрафу від трьохсот до п’ятисот неоподатковуваних мінімумів доходів громадян.</w:t>
      </w:r>
    </w:p>
    <w:p w14:paraId="4B04DFC9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" w:name="n4706"/>
      <w:bookmarkEnd w:id="9"/>
      <w:r>
        <w:rPr>
          <w:color w:val="333333"/>
        </w:rPr>
        <w:t>Вчинення дій, передбачених частиною першою цієї статті, в особливий період -</w:t>
      </w:r>
    </w:p>
    <w:p w14:paraId="1509FA5D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4707"/>
      <w:bookmarkEnd w:id="10"/>
      <w:r>
        <w:rPr>
          <w:color w:val="333333"/>
        </w:rPr>
        <w:t>тягне за собою накладення штрафу від однієї тисячі до однієї тисячі п’ятисот неоподатковуваних мінімумів доходів громадян.</w:t>
      </w:r>
    </w:p>
    <w:p w14:paraId="3AD67B2E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4708"/>
      <w:bookmarkEnd w:id="11"/>
      <w:r>
        <w:rPr>
          <w:color w:val="333333"/>
        </w:rPr>
        <w:t>Примітка. Положення </w:t>
      </w:r>
      <w:hyperlink r:id="rId9" w:anchor="n2428" w:history="1">
        <w:r>
          <w:rPr>
            <w:rStyle w:val="a3"/>
            <w:color w:val="006600"/>
          </w:rPr>
          <w:t>статей 210</w:t>
        </w:r>
      </w:hyperlink>
      <w:r>
        <w:rPr>
          <w:color w:val="333333"/>
        </w:rPr>
        <w:t>, </w:t>
      </w:r>
      <w:hyperlink r:id="rId10" w:anchor="n2434" w:history="1">
        <w:r>
          <w:rPr>
            <w:rStyle w:val="a3"/>
            <w:color w:val="006600"/>
          </w:rPr>
          <w:t>210</w:t>
        </w:r>
      </w:hyperlink>
      <w:hyperlink r:id="rId11" w:anchor="n2434" w:history="1">
        <w:r>
          <w:rPr>
            <w:rStyle w:val="a3"/>
            <w:b/>
            <w:bCs/>
            <w:color w:val="006600"/>
            <w:sz w:val="2"/>
            <w:szCs w:val="2"/>
            <w:vertAlign w:val="superscript"/>
          </w:rPr>
          <w:t>-</w:t>
        </w:r>
        <w:r>
          <w:rPr>
            <w:rStyle w:val="a3"/>
            <w:b/>
            <w:bCs/>
            <w:color w:val="006600"/>
            <w:sz w:val="16"/>
            <w:szCs w:val="16"/>
            <w:vertAlign w:val="superscript"/>
          </w:rPr>
          <w:t>1</w:t>
        </w:r>
      </w:hyperlink>
      <w:r>
        <w:rPr>
          <w:color w:val="333333"/>
        </w:rPr>
        <w:t> цього Кодексу не застосовуються у разі можливості отримання держателем Єдиного державного реєстру призовників, військовозобов’язаних та резервістів персональних даних призовника, військовозобов’язаного, резервіста шляхом електронної інформаційної взаємодії з іншими інформаційно-комунікаційними системами, реєстрами (у тому числі публічними), базами (банками) даних, держателями (розпорядниками, адміністраторами) яких є державні органи.</w:t>
      </w:r>
    </w:p>
    <w:p w14:paraId="514072CB" w14:textId="77777777" w:rsidR="00230F70" w:rsidRDefault="00230F70" w:rsidP="00230F70">
      <w:pPr>
        <w:pStyle w:val="rvps2"/>
        <w:spacing w:before="0" w:beforeAutospacing="0" w:after="150" w:afterAutospacing="0"/>
        <w:ind w:firstLine="450"/>
        <w:jc w:val="both"/>
        <w:rPr>
          <w:color w:val="333333"/>
          <w:shd w:val="clear" w:color="auto" w:fill="FFFFFF"/>
        </w:rPr>
      </w:pPr>
      <w:bookmarkStart w:id="12" w:name="n2433"/>
      <w:bookmarkEnd w:id="12"/>
      <w:r>
        <w:rPr>
          <w:rStyle w:val="rvts46"/>
          <w:i/>
          <w:iCs/>
          <w:color w:val="333333"/>
          <w:shd w:val="clear" w:color="auto" w:fill="FFFFFF"/>
        </w:rPr>
        <w:t>{Стаття 210 із змінами, внесеними згідно з Указом ПВР </w:t>
      </w:r>
      <w:hyperlink r:id="rId12" w:tgtFrame="_blank" w:history="1">
        <w:r>
          <w:rPr>
            <w:rStyle w:val="a3"/>
            <w:i/>
            <w:iCs/>
            <w:color w:val="000099"/>
          </w:rPr>
          <w:t>№ 2010-11 від 03.04.86</w:t>
        </w:r>
      </w:hyperlink>
      <w:r>
        <w:rPr>
          <w:rStyle w:val="rvts46"/>
          <w:i/>
          <w:iCs/>
          <w:color w:val="333333"/>
          <w:shd w:val="clear" w:color="auto" w:fill="FFFFFF"/>
        </w:rPr>
        <w:t>, Законом </w:t>
      </w:r>
      <w:hyperlink r:id="rId13" w:tgtFrame="_blank" w:history="1">
        <w:r>
          <w:rPr>
            <w:rStyle w:val="a3"/>
            <w:i/>
            <w:iCs/>
            <w:color w:val="000099"/>
          </w:rPr>
          <w:t>№ 55/97-ВР від 07.02.97</w:t>
        </w:r>
      </w:hyperlink>
      <w:r>
        <w:rPr>
          <w:rStyle w:val="rvts46"/>
          <w:i/>
          <w:iCs/>
          <w:color w:val="333333"/>
          <w:shd w:val="clear" w:color="auto" w:fill="FFFFFF"/>
        </w:rPr>
        <w:t>; в редакції Закону </w:t>
      </w:r>
      <w:hyperlink r:id="rId14" w:tgtFrame="_blank" w:history="1">
        <w:r>
          <w:rPr>
            <w:rStyle w:val="a3"/>
            <w:i/>
            <w:iCs/>
            <w:color w:val="000099"/>
          </w:rPr>
          <w:t>№ 308/97-ВР від 04.06.97</w:t>
        </w:r>
      </w:hyperlink>
      <w:r>
        <w:rPr>
          <w:rStyle w:val="rvts46"/>
          <w:i/>
          <w:iCs/>
          <w:color w:val="333333"/>
          <w:shd w:val="clear" w:color="auto" w:fill="FFFFFF"/>
        </w:rPr>
        <w:t xml:space="preserve">; із змінами, </w:t>
      </w:r>
      <w:r>
        <w:rPr>
          <w:rStyle w:val="rvts46"/>
          <w:i/>
          <w:iCs/>
          <w:color w:val="333333"/>
          <w:shd w:val="clear" w:color="auto" w:fill="FFFFFF"/>
        </w:rPr>
        <w:lastRenderedPageBreak/>
        <w:t>внесеними згідно із Законами </w:t>
      </w:r>
      <w:hyperlink r:id="rId15" w:tgtFrame="_blank" w:history="1">
        <w:r>
          <w:rPr>
            <w:rStyle w:val="a3"/>
            <w:i/>
            <w:iCs/>
            <w:color w:val="000099"/>
          </w:rPr>
          <w:t>№ 2342-III від 05.04.2001</w:t>
        </w:r>
      </w:hyperlink>
      <w:r>
        <w:rPr>
          <w:rStyle w:val="rvts46"/>
          <w:i/>
          <w:iCs/>
          <w:color w:val="333333"/>
          <w:shd w:val="clear" w:color="auto" w:fill="FFFFFF"/>
        </w:rPr>
        <w:t>, </w:t>
      </w:r>
      <w:hyperlink r:id="rId16" w:tgtFrame="_blank" w:history="1">
        <w:r>
          <w:rPr>
            <w:rStyle w:val="a3"/>
            <w:i/>
            <w:iCs/>
            <w:color w:val="000099"/>
          </w:rPr>
          <w:t>№ 1014-V від 11.05.2007</w:t>
        </w:r>
      </w:hyperlink>
      <w:r>
        <w:rPr>
          <w:rStyle w:val="rvts46"/>
          <w:i/>
          <w:iCs/>
          <w:color w:val="333333"/>
          <w:shd w:val="clear" w:color="auto" w:fill="FFFFFF"/>
        </w:rPr>
        <w:t>, </w:t>
      </w:r>
      <w:hyperlink r:id="rId17" w:tgtFrame="_blank" w:history="1">
        <w:r>
          <w:rPr>
            <w:rStyle w:val="a3"/>
            <w:i/>
            <w:iCs/>
            <w:color w:val="000099"/>
          </w:rPr>
          <w:t>№ 2711-VI від 30.11.2010</w:t>
        </w:r>
      </w:hyperlink>
      <w:r>
        <w:rPr>
          <w:rStyle w:val="rvts46"/>
          <w:i/>
          <w:iCs/>
          <w:color w:val="333333"/>
          <w:shd w:val="clear" w:color="auto" w:fill="FFFFFF"/>
        </w:rPr>
        <w:t>; в редакції Законів </w:t>
      </w:r>
      <w:hyperlink r:id="rId18" w:anchor="n20" w:tgtFrame="_blank" w:history="1">
        <w:r>
          <w:rPr>
            <w:rStyle w:val="a3"/>
            <w:i/>
            <w:iCs/>
            <w:color w:val="000099"/>
          </w:rPr>
          <w:t>№ 1357-IX від 30.03.2021</w:t>
        </w:r>
      </w:hyperlink>
      <w:r>
        <w:rPr>
          <w:rStyle w:val="rvts46"/>
          <w:i/>
          <w:iCs/>
          <w:color w:val="333333"/>
          <w:shd w:val="clear" w:color="auto" w:fill="FFFFFF"/>
        </w:rPr>
        <w:t>, </w:t>
      </w:r>
      <w:hyperlink r:id="rId19" w:anchor="n12" w:tgtFrame="_blank" w:history="1">
        <w:r>
          <w:rPr>
            <w:rStyle w:val="a3"/>
            <w:i/>
            <w:iCs/>
            <w:color w:val="000099"/>
          </w:rPr>
          <w:t>№ 3696-IX від 09.05.2024</w:t>
        </w:r>
      </w:hyperlink>
      <w:r>
        <w:rPr>
          <w:rStyle w:val="rvts46"/>
          <w:i/>
          <w:iCs/>
          <w:color w:val="333333"/>
          <w:shd w:val="clear" w:color="auto" w:fill="FFFFFF"/>
        </w:rPr>
        <w:t>}</w:t>
      </w:r>
    </w:p>
    <w:p w14:paraId="3080C2D8" w14:textId="77777777" w:rsidR="00230F70" w:rsidRDefault="00230F70" w:rsidP="00230F70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13" w:name="n2434"/>
      <w:bookmarkEnd w:id="13"/>
      <w:r w:rsidRPr="00230F70">
        <w:rPr>
          <w:rStyle w:val="rvts9"/>
          <w:b/>
          <w:bCs/>
          <w:color w:val="333333"/>
          <w:sz w:val="28"/>
          <w:szCs w:val="28"/>
        </w:rPr>
        <w:t>Стаття 210</w:t>
      </w:r>
      <w:r w:rsidRPr="00230F70">
        <w:rPr>
          <w:rStyle w:val="rvts37"/>
          <w:b/>
          <w:bCs/>
          <w:color w:val="333333"/>
          <w:sz w:val="28"/>
          <w:szCs w:val="28"/>
          <w:vertAlign w:val="superscript"/>
        </w:rPr>
        <w:t>-1</w:t>
      </w:r>
      <w:r w:rsidRPr="00230F70">
        <w:rPr>
          <w:rStyle w:val="rvts9"/>
          <w:b/>
          <w:bCs/>
          <w:color w:val="333333"/>
          <w:sz w:val="28"/>
          <w:szCs w:val="28"/>
        </w:rPr>
        <w:t>.</w:t>
      </w:r>
      <w:r>
        <w:rPr>
          <w:rStyle w:val="rvts9"/>
          <w:b/>
          <w:bCs/>
          <w:color w:val="333333"/>
        </w:rPr>
        <w:t xml:space="preserve"> Порушення законодавства про оборону, мобілізаційну підготовку та мобілізацію</w:t>
      </w:r>
    </w:p>
    <w:p w14:paraId="56BF9DED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4" w:name="n2435"/>
      <w:bookmarkEnd w:id="14"/>
      <w:r>
        <w:rPr>
          <w:color w:val="333333"/>
        </w:rPr>
        <w:t>Порушення законодавства про оборону, мобілізаційну підготовку та мобілізацію -</w:t>
      </w:r>
    </w:p>
    <w:p w14:paraId="101A758D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5" w:name="n2436"/>
      <w:bookmarkEnd w:id="15"/>
      <w:r>
        <w:rPr>
          <w:color w:val="333333"/>
        </w:rPr>
        <w:t>тягне за собою накладення штрафу на громадян від трьохсот до п’ятисот неоподатковуваних мінімумів доходів громадян і на посадових осіб органів державної влади, органів місцевого самоврядування, юридичних осіб та громадських об’єднань - від однієї тисячі до однієї тисячі п’ятисот неоподатковуваних мінімумів доходів громадян.</w:t>
      </w:r>
    </w:p>
    <w:p w14:paraId="621C5DA4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6" w:name="n2437"/>
      <w:bookmarkEnd w:id="16"/>
      <w:r>
        <w:rPr>
          <w:color w:val="333333"/>
        </w:rPr>
        <w:t>Повторне протягом року вчинення порушення, передбаченого частиною першою цієї статті, за яке особу вже було піддано адміністративному стягненню, -</w:t>
      </w:r>
    </w:p>
    <w:p w14:paraId="754137FD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2438"/>
      <w:bookmarkEnd w:id="17"/>
      <w:r>
        <w:rPr>
          <w:color w:val="333333"/>
        </w:rPr>
        <w:t>тягне за собою накладення штрафу на громадян від п’ятисот до семисот неоподатковуваних мінімумів доходів громадян і на посадових осіб органів державної влади, органів місцевого самоврядування, юридичних осіб та громадських об’єднань - від однієї тисячі п’ятисот до двох тисяч неоподатковуваних мінімумів доходів громадян.</w:t>
      </w:r>
    </w:p>
    <w:p w14:paraId="620DD5D3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8" w:name="n4709"/>
      <w:bookmarkEnd w:id="18"/>
      <w:r>
        <w:rPr>
          <w:color w:val="333333"/>
        </w:rPr>
        <w:t>Вчинення дій, передбачених частиною першою цієї статті, в особливий період -</w:t>
      </w:r>
    </w:p>
    <w:p w14:paraId="47D0F5AA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4710"/>
      <w:bookmarkEnd w:id="19"/>
      <w:r>
        <w:rPr>
          <w:color w:val="333333"/>
        </w:rPr>
        <w:t>тягне за собою накладення штрафу на громадян від однієї тисячі до однієї тисячі п’ятисот неоподатковуваних мінімумів доходів громадян і на посадових осіб органів державної влади, органів місцевого самоврядування, юридичних осіб та громадських об’єднань - від двох тисяч до трьох тисяч п’ятисот неоподатковуваних мінімумів доходів громадян.</w:t>
      </w:r>
    </w:p>
    <w:p w14:paraId="366D57D2" w14:textId="77777777" w:rsidR="00230F70" w:rsidRDefault="00230F70" w:rsidP="00230F70">
      <w:pPr>
        <w:pStyle w:val="rvps2"/>
        <w:spacing w:before="0" w:beforeAutospacing="0" w:after="150" w:afterAutospacing="0"/>
        <w:ind w:firstLine="450"/>
        <w:jc w:val="both"/>
        <w:rPr>
          <w:color w:val="333333"/>
          <w:shd w:val="clear" w:color="auto" w:fill="FFFFFF"/>
        </w:rPr>
      </w:pPr>
      <w:bookmarkStart w:id="20" w:name="n2439"/>
      <w:bookmarkEnd w:id="20"/>
      <w:r>
        <w:rPr>
          <w:rStyle w:val="rvts46"/>
          <w:i/>
          <w:iCs/>
          <w:color w:val="333333"/>
          <w:shd w:val="clear" w:color="auto" w:fill="FFFFFF"/>
        </w:rPr>
        <w:t>{Кодекс доповнено статтею 210</w:t>
      </w:r>
      <w:r>
        <w:rPr>
          <w:rStyle w:val="rvts37"/>
          <w:b/>
          <w:bCs/>
          <w:color w:val="333333"/>
          <w:sz w:val="2"/>
          <w:szCs w:val="2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333333"/>
          <w:sz w:val="16"/>
          <w:szCs w:val="16"/>
          <w:shd w:val="clear" w:color="auto" w:fill="FFFFFF"/>
          <w:vertAlign w:val="superscript"/>
        </w:rPr>
        <w:t>1</w:t>
      </w:r>
      <w:r>
        <w:rPr>
          <w:rStyle w:val="rvts46"/>
          <w:i/>
          <w:iCs/>
          <w:color w:val="333333"/>
          <w:shd w:val="clear" w:color="auto" w:fill="FFFFFF"/>
        </w:rPr>
        <w:t> згідно із Законом </w:t>
      </w:r>
      <w:hyperlink r:id="rId20" w:tgtFrame="_blank" w:history="1">
        <w:r>
          <w:rPr>
            <w:rStyle w:val="a3"/>
            <w:i/>
            <w:iCs/>
            <w:color w:val="000099"/>
          </w:rPr>
          <w:t>№ 2197-IV від 18.11.2004</w:t>
        </w:r>
      </w:hyperlink>
      <w:r>
        <w:rPr>
          <w:rStyle w:val="rvts46"/>
          <w:i/>
          <w:iCs/>
          <w:color w:val="333333"/>
          <w:shd w:val="clear" w:color="auto" w:fill="FFFFFF"/>
        </w:rPr>
        <w:t>; із змінами, внесеними згідно із Законом </w:t>
      </w:r>
      <w:hyperlink r:id="rId21" w:anchor="n19" w:tgtFrame="_blank" w:history="1">
        <w:r>
          <w:rPr>
            <w:rStyle w:val="a3"/>
            <w:i/>
            <w:iCs/>
            <w:color w:val="000099"/>
          </w:rPr>
          <w:t>№ 1275-VII від 20.05.2014</w:t>
        </w:r>
      </w:hyperlink>
      <w:r>
        <w:rPr>
          <w:rStyle w:val="rvts46"/>
          <w:i/>
          <w:iCs/>
          <w:color w:val="333333"/>
          <w:shd w:val="clear" w:color="auto" w:fill="FFFFFF"/>
        </w:rPr>
        <w:t>; в редакції Законів </w:t>
      </w:r>
      <w:hyperlink r:id="rId22" w:anchor="n20" w:tgtFrame="_blank" w:history="1">
        <w:r>
          <w:rPr>
            <w:rStyle w:val="a3"/>
            <w:i/>
            <w:iCs/>
            <w:color w:val="000099"/>
          </w:rPr>
          <w:t>№ 1357-IX від 30.03.2021</w:t>
        </w:r>
      </w:hyperlink>
      <w:r>
        <w:rPr>
          <w:rStyle w:val="rvts46"/>
          <w:i/>
          <w:iCs/>
          <w:color w:val="333333"/>
          <w:shd w:val="clear" w:color="auto" w:fill="FFFFFF"/>
        </w:rPr>
        <w:t>, </w:t>
      </w:r>
      <w:hyperlink r:id="rId23" w:anchor="n12" w:tgtFrame="_blank" w:history="1">
        <w:r>
          <w:rPr>
            <w:rStyle w:val="a3"/>
            <w:i/>
            <w:iCs/>
            <w:color w:val="000099"/>
          </w:rPr>
          <w:t>№ 3696-IX від 09.05.2024</w:t>
        </w:r>
      </w:hyperlink>
      <w:r>
        <w:rPr>
          <w:rStyle w:val="rvts46"/>
          <w:i/>
          <w:iCs/>
          <w:color w:val="333333"/>
          <w:shd w:val="clear" w:color="auto" w:fill="FFFFFF"/>
        </w:rPr>
        <w:t>}</w:t>
      </w:r>
    </w:p>
    <w:p w14:paraId="1BCEDDB2" w14:textId="77777777" w:rsidR="00230F70" w:rsidRDefault="00230F70" w:rsidP="00230F70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21" w:name="n2440"/>
      <w:bookmarkStart w:id="22" w:name="_GoBack"/>
      <w:bookmarkEnd w:id="21"/>
      <w:r w:rsidRPr="00230F70">
        <w:rPr>
          <w:rStyle w:val="rvts9"/>
          <w:b/>
          <w:bCs/>
          <w:color w:val="333333"/>
          <w:sz w:val="28"/>
          <w:szCs w:val="28"/>
        </w:rPr>
        <w:t>Стаття 211.</w:t>
      </w:r>
      <w:r>
        <w:rPr>
          <w:rStyle w:val="rvts9"/>
          <w:b/>
          <w:bCs/>
          <w:color w:val="333333"/>
        </w:rPr>
        <w:t xml:space="preserve"> </w:t>
      </w:r>
      <w:bookmarkEnd w:id="22"/>
      <w:r>
        <w:rPr>
          <w:rStyle w:val="rvts9"/>
          <w:b/>
          <w:bCs/>
          <w:color w:val="333333"/>
        </w:rPr>
        <w:t>Зіпсуття військово-облікових документів чи втрата їх з необережності</w:t>
      </w:r>
    </w:p>
    <w:p w14:paraId="6A1BB74D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" w:name="n2441"/>
      <w:bookmarkEnd w:id="23"/>
      <w:r>
        <w:rPr>
          <w:color w:val="333333"/>
        </w:rPr>
        <w:t>Зіпсуття або недбале зберігання призовниками, військовозобов’язаними і резервістами військово-облікових документів (посвідчень про приписку до призовних дільниць, військових квитків, тимчасових посвідчень військовозобов’язаних), яке спричинило їх втрату, -</w:t>
      </w:r>
    </w:p>
    <w:p w14:paraId="4453E34F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" w:name="n2442"/>
      <w:bookmarkEnd w:id="24"/>
      <w:r>
        <w:rPr>
          <w:color w:val="333333"/>
        </w:rPr>
        <w:t>тягнуть за собою накладення штрафу від тридцяти до п’ятдесяти неоподатковуваних мінімумів доходів громадян.</w:t>
      </w:r>
    </w:p>
    <w:p w14:paraId="61441B79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" w:name="n2443"/>
      <w:bookmarkEnd w:id="25"/>
      <w:r>
        <w:rPr>
          <w:color w:val="333333"/>
        </w:rPr>
        <w:t>Повторне протягом року вчинення порушення з числа передбачених </w:t>
      </w:r>
      <w:hyperlink r:id="rId24" w:anchor="n2441" w:history="1">
        <w:r>
          <w:rPr>
            <w:rStyle w:val="a3"/>
            <w:color w:val="006600"/>
          </w:rPr>
          <w:t>частиною першою</w:t>
        </w:r>
      </w:hyperlink>
      <w:r>
        <w:rPr>
          <w:color w:val="333333"/>
        </w:rPr>
        <w:t> цієї статті, за яке особу вже було піддано адміністративному стягненню, а також вчинення такого порушення в особливий період -</w:t>
      </w:r>
    </w:p>
    <w:p w14:paraId="0CDEDFA1" w14:textId="77777777" w:rsidR="00230F70" w:rsidRDefault="00230F70" w:rsidP="00230F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6" w:name="n2444"/>
      <w:bookmarkEnd w:id="26"/>
      <w:r>
        <w:rPr>
          <w:color w:val="333333"/>
        </w:rPr>
        <w:t>тягнуть за собою накладення штрафу від п’ятдесяти до ста неоподатковуваних мінімумів доходів громадян.</w:t>
      </w:r>
    </w:p>
    <w:p w14:paraId="5D35E1D4" w14:textId="77777777" w:rsidR="00230F70" w:rsidRDefault="00230F70" w:rsidP="00230F70">
      <w:pPr>
        <w:pStyle w:val="rvps2"/>
        <w:spacing w:before="0" w:beforeAutospacing="0" w:after="150" w:afterAutospacing="0"/>
        <w:ind w:firstLine="450"/>
        <w:jc w:val="both"/>
        <w:rPr>
          <w:color w:val="333333"/>
          <w:shd w:val="clear" w:color="auto" w:fill="FFFFFF"/>
        </w:rPr>
      </w:pPr>
      <w:bookmarkStart w:id="27" w:name="n2445"/>
      <w:bookmarkEnd w:id="27"/>
      <w:r>
        <w:rPr>
          <w:rStyle w:val="rvts46"/>
          <w:i/>
          <w:iCs/>
          <w:color w:val="333333"/>
          <w:shd w:val="clear" w:color="auto" w:fill="FFFFFF"/>
        </w:rPr>
        <w:t>{Стаття 211 із змінами, внесеними згідно з Указом ПВР </w:t>
      </w:r>
      <w:hyperlink r:id="rId25" w:tgtFrame="_blank" w:history="1">
        <w:r>
          <w:rPr>
            <w:rStyle w:val="a3"/>
            <w:i/>
            <w:iCs/>
            <w:color w:val="000099"/>
          </w:rPr>
          <w:t>№ 2010-11 від 03.04.86</w:t>
        </w:r>
      </w:hyperlink>
      <w:r>
        <w:rPr>
          <w:rStyle w:val="rvts46"/>
          <w:i/>
          <w:iCs/>
          <w:color w:val="333333"/>
          <w:shd w:val="clear" w:color="auto" w:fill="FFFFFF"/>
        </w:rPr>
        <w:t>, Законами </w:t>
      </w:r>
      <w:hyperlink r:id="rId26" w:tgtFrame="_blank" w:history="1">
        <w:r>
          <w:rPr>
            <w:rStyle w:val="a3"/>
            <w:i/>
            <w:iCs/>
            <w:color w:val="000099"/>
          </w:rPr>
          <w:t>№ 55/97-ВР від 07.02.97</w:t>
        </w:r>
      </w:hyperlink>
      <w:r>
        <w:rPr>
          <w:rStyle w:val="rvts46"/>
          <w:i/>
          <w:iCs/>
          <w:color w:val="333333"/>
          <w:shd w:val="clear" w:color="auto" w:fill="FFFFFF"/>
        </w:rPr>
        <w:t>, </w:t>
      </w:r>
      <w:hyperlink r:id="rId27" w:tgtFrame="_blank" w:history="1">
        <w:r>
          <w:rPr>
            <w:rStyle w:val="a3"/>
            <w:i/>
            <w:iCs/>
            <w:color w:val="000099"/>
          </w:rPr>
          <w:t>№ 308/97-ВР від 04.06.97</w:t>
        </w:r>
      </w:hyperlink>
      <w:r>
        <w:rPr>
          <w:rStyle w:val="rvts46"/>
          <w:i/>
          <w:iCs/>
          <w:color w:val="333333"/>
          <w:shd w:val="clear" w:color="auto" w:fill="FFFFFF"/>
        </w:rPr>
        <w:t>; в редакції Закону </w:t>
      </w:r>
      <w:hyperlink r:id="rId28" w:anchor="n20" w:tgtFrame="_blank" w:history="1">
        <w:r>
          <w:rPr>
            <w:rStyle w:val="a3"/>
            <w:i/>
            <w:iCs/>
            <w:color w:val="000099"/>
          </w:rPr>
          <w:t>№ 1357-IX від 30.03.2021</w:t>
        </w:r>
      </w:hyperlink>
      <w:r>
        <w:rPr>
          <w:rStyle w:val="rvts46"/>
          <w:i/>
          <w:iCs/>
          <w:color w:val="333333"/>
          <w:shd w:val="clear" w:color="auto" w:fill="FFFFFF"/>
        </w:rPr>
        <w:t>}</w:t>
      </w:r>
    </w:p>
    <w:p w14:paraId="6CBB4E56" w14:textId="77777777" w:rsidR="00230F70" w:rsidRDefault="00230F70"/>
    <w:sectPr w:rsidR="0023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C"/>
    <w:rsid w:val="0008040C"/>
    <w:rsid w:val="00230F70"/>
    <w:rsid w:val="008256E8"/>
    <w:rsid w:val="0083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5DC9"/>
  <w15:chartTrackingRefBased/>
  <w15:docId w15:val="{BFD353C3-C362-4BCF-8BF2-E2CC2A48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82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6">
    <w:name w:val="rvps6"/>
    <w:basedOn w:val="a"/>
    <w:rsid w:val="0082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15">
    <w:name w:val="rvts15"/>
    <w:basedOn w:val="a0"/>
    <w:rsid w:val="008256E8"/>
  </w:style>
  <w:style w:type="character" w:customStyle="1" w:styleId="rvts37">
    <w:name w:val="rvts37"/>
    <w:basedOn w:val="a0"/>
    <w:rsid w:val="008256E8"/>
  </w:style>
  <w:style w:type="paragraph" w:customStyle="1" w:styleId="rvps12">
    <w:name w:val="rvps12"/>
    <w:basedOn w:val="a"/>
    <w:rsid w:val="0082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6">
    <w:name w:val="rvts46"/>
    <w:basedOn w:val="a0"/>
    <w:rsid w:val="008256E8"/>
  </w:style>
  <w:style w:type="character" w:styleId="a3">
    <w:name w:val="Hyperlink"/>
    <w:basedOn w:val="a0"/>
    <w:uiPriority w:val="99"/>
    <w:semiHidden/>
    <w:unhideWhenUsed/>
    <w:rsid w:val="008256E8"/>
    <w:rPr>
      <w:color w:val="0000FF"/>
      <w:u w:val="single"/>
    </w:rPr>
  </w:style>
  <w:style w:type="character" w:customStyle="1" w:styleId="rvts44">
    <w:name w:val="rvts44"/>
    <w:basedOn w:val="a0"/>
    <w:rsid w:val="008256E8"/>
  </w:style>
  <w:style w:type="paragraph" w:customStyle="1" w:styleId="rvps18">
    <w:name w:val="rvps18"/>
    <w:basedOn w:val="a"/>
    <w:rsid w:val="0082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82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23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2/95-%D0%B2%D1%80" TargetMode="External"/><Relationship Id="rId13" Type="http://schemas.openxmlformats.org/officeDocument/2006/relationships/hyperlink" Target="https://zakon.rada.gov.ua/laws/show/55/97-%D0%B2%D1%80" TargetMode="External"/><Relationship Id="rId18" Type="http://schemas.openxmlformats.org/officeDocument/2006/relationships/hyperlink" Target="https://zakon.rada.gov.ua/laws/show/1357-20" TargetMode="External"/><Relationship Id="rId26" Type="http://schemas.openxmlformats.org/officeDocument/2006/relationships/hyperlink" Target="https://zakon.rada.gov.ua/laws/show/55/97-%D0%B2%D1%8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1275-18" TargetMode="External"/><Relationship Id="rId7" Type="http://schemas.openxmlformats.org/officeDocument/2006/relationships/hyperlink" Target="https://zakon.rada.gov.ua/laws/show/209/94-%D0%B2%D1%80" TargetMode="External"/><Relationship Id="rId12" Type="http://schemas.openxmlformats.org/officeDocument/2006/relationships/hyperlink" Target="https://zakon.rada.gov.ua/laws/show/2010-11" TargetMode="External"/><Relationship Id="rId17" Type="http://schemas.openxmlformats.org/officeDocument/2006/relationships/hyperlink" Target="https://zakon.rada.gov.ua/laws/show/2711-17" TargetMode="External"/><Relationship Id="rId25" Type="http://schemas.openxmlformats.org/officeDocument/2006/relationships/hyperlink" Target="https://zakon.rada.gov.ua/laws/show/2010-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1014-16" TargetMode="External"/><Relationship Id="rId20" Type="http://schemas.openxmlformats.org/officeDocument/2006/relationships/hyperlink" Target="https://zakon.rada.gov.ua/laws/show/2197-1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4-10" TargetMode="External"/><Relationship Id="rId11" Type="http://schemas.openxmlformats.org/officeDocument/2006/relationships/hyperlink" Target="https://zakon.rada.gov.ua/laws/show/80731-10" TargetMode="External"/><Relationship Id="rId24" Type="http://schemas.openxmlformats.org/officeDocument/2006/relationships/hyperlink" Target="https://zakon.rada.gov.ua/laws/show/80731-10" TargetMode="External"/><Relationship Id="rId5" Type="http://schemas.openxmlformats.org/officeDocument/2006/relationships/hyperlink" Target="https://zakon.rada.gov.ua/laws/show/80732-10" TargetMode="External"/><Relationship Id="rId15" Type="http://schemas.openxmlformats.org/officeDocument/2006/relationships/hyperlink" Target="https://zakon.rada.gov.ua/laws/show/2342-14" TargetMode="External"/><Relationship Id="rId23" Type="http://schemas.openxmlformats.org/officeDocument/2006/relationships/hyperlink" Target="https://zakon.rada.gov.ua/laws/show/3696-20" TargetMode="External"/><Relationship Id="rId28" Type="http://schemas.openxmlformats.org/officeDocument/2006/relationships/hyperlink" Target="https://zakon.rada.gov.ua/laws/show/1357-20" TargetMode="External"/><Relationship Id="rId10" Type="http://schemas.openxmlformats.org/officeDocument/2006/relationships/hyperlink" Target="https://zakon.rada.gov.ua/laws/show/80731-10" TargetMode="External"/><Relationship Id="rId19" Type="http://schemas.openxmlformats.org/officeDocument/2006/relationships/hyperlink" Target="https://zakon.rada.gov.ua/laws/show/3696-20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80731-10" TargetMode="External"/><Relationship Id="rId14" Type="http://schemas.openxmlformats.org/officeDocument/2006/relationships/hyperlink" Target="https://zakon.rada.gov.ua/laws/show/308/97-%D0%B2%D1%80" TargetMode="External"/><Relationship Id="rId22" Type="http://schemas.openxmlformats.org/officeDocument/2006/relationships/hyperlink" Target="https://zakon.rada.gov.ua/laws/show/1357-20" TargetMode="External"/><Relationship Id="rId27" Type="http://schemas.openxmlformats.org/officeDocument/2006/relationships/hyperlink" Target="https://zakon.rada.gov.ua/laws/show/308/97-%D0%B2%D1%8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szsh-1@ukr.net</dc:creator>
  <cp:keywords/>
  <dc:description/>
  <cp:lastModifiedBy>szsh-1@ukr.net</cp:lastModifiedBy>
  <cp:revision>3</cp:revision>
  <dcterms:created xsi:type="dcterms:W3CDTF">2025-12-04T14:12:00Z</dcterms:created>
  <dcterms:modified xsi:type="dcterms:W3CDTF">2025-12-04T14:17:00Z</dcterms:modified>
</cp:coreProperties>
</file>