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Стаття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Науково-дослідницька діяльність учнів в умовах реалізації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компетентнісного підходу до навчання математики / Д. 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Васильєва // Педагогічні науки: теорія, історія, інноваційні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технології. - 2016. - № 2. - С. 196-202. - Режим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доступу: http://nbuv.gov.ua/UJRN/pednauk_2016_2_26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Відео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Впровадження елементів SТEM-освіти у навчання математики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https://www.youtube.com/watch?time_continue=340&amp;amp;v=HLN36eNYWks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STEM у школі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https://www.youtube.com/watch?v=VyOlpJLrv84&amp;amp;t=19s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Особливості навчання математики в сучасній школі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https://www.youtube.com/watch?v=dybNoZskQhY&amp;amp;t=52s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