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04" w:rsidRPr="00236904" w:rsidRDefault="00236904" w:rsidP="00236904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eastAsia="uk-UA"/>
        </w:rPr>
        <w:t xml:space="preserve"> (цькування) в закладі освіти</w:t>
      </w:r>
    </w:p>
    <w:p w:rsidR="00236904" w:rsidRPr="00236904" w:rsidRDefault="00236904" w:rsidP="0023690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(відповідно до листа МОНУ від 29.01.2019 №1/11-881 "Рекомендації для закладів освіти щодо застосування норм Закону України "Про внесення змін до деяких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законодавчіх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актів України щодо протидії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(цькування) від 18.12.2018 №2657-VIII")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Учасники освітнього процесу подають заяву керівництву закладу освіти або його засновнику про випадки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по відношенню до дитини або будь-якого іншого учасника освітнього процесу.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Керівник закладу освіти або його засновник розглядає заяву в день її подання та видає рішення про проведення розслідування.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Проводиться повне та неупереджене розслідування щодо випадків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 з залученням осіб від яких отримали інформацію.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Керівник закладу освіти для прийняття рішення за результатами розслідування створює наказом комісію з розгляду випадків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 та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скликає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засідання. До складу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булера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, керівник закладу та інші зацікавлені особи. для прийняття рішення за результатами розслідування та виконання відповідних заходів реагування.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Рішення Комісії реєструється в окремому журналі, зберігається в паперовому вигляді з оригіналами підписів всіх членів Комісії.</w:t>
      </w:r>
    </w:p>
    <w:p w:rsidR="00236904" w:rsidRPr="00236904" w:rsidRDefault="00236904" w:rsidP="00236904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Потерпілий чи його/її представник також можуть звернутися відразу до уповноважених підрозділів органів Національної поліції України (ювенальна поліція) та Служб у справах дітей з повідомленням про випадки </w:t>
      </w:r>
      <w:proofErr w:type="spellStart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212121"/>
          <w:sz w:val="20"/>
          <w:szCs w:val="20"/>
          <w:lang w:eastAsia="uk-UA"/>
        </w:rPr>
        <w:t xml:space="preserve"> (цькування)</w:t>
      </w:r>
    </w:p>
    <w:p w:rsidR="00236904" w:rsidRPr="00236904" w:rsidRDefault="00236904" w:rsidP="00236904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690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212121" stroked="f"/>
        </w:pict>
      </w:r>
    </w:p>
    <w:p w:rsidR="00236904" w:rsidRPr="00236904" w:rsidRDefault="00236904" w:rsidP="00236904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  <w:t>булінгу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  <w:t xml:space="preserve"> (цькування), визнала, що це був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  <w:t>булінг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 уповноваженим підрозділам:</w:t>
      </w:r>
    </w:p>
    <w:p w:rsidR="00236904" w:rsidRPr="00236904" w:rsidRDefault="00236904" w:rsidP="00236904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·ювенальній поліції сектору превенції Московського відділу Національної поліції;</w:t>
      </w:r>
    </w:p>
    <w:p w:rsidR="00236904" w:rsidRPr="00236904" w:rsidRDefault="00236904" w:rsidP="00236904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·Службі у справах дітей Московського району.</w:t>
      </w:r>
    </w:p>
    <w:p w:rsidR="00236904" w:rsidRPr="00236904" w:rsidRDefault="00236904" w:rsidP="00236904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У разі, якщо комісія не кваліфікує випадок як </w:t>
      </w:r>
      <w:proofErr w:type="spellStart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булінг</w:t>
      </w:r>
      <w:proofErr w:type="spellEnd"/>
      <w:r w:rsidRPr="00236904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:rsidR="008E6AA5" w:rsidRDefault="008E6AA5">
      <w:bookmarkStart w:id="0" w:name="_GoBack"/>
      <w:bookmarkEnd w:id="0"/>
    </w:p>
    <w:sectPr w:rsidR="008E6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0B7C"/>
    <w:multiLevelType w:val="multilevel"/>
    <w:tmpl w:val="9A0A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04"/>
    <w:rsid w:val="00236904"/>
    <w:rsid w:val="008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6ADE-F581-4CA4-9CE9-A9CCC59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2020-05-21T06:48:00Z</dcterms:created>
  <dcterms:modified xsi:type="dcterms:W3CDTF">2020-05-21T06:49:00Z</dcterms:modified>
</cp:coreProperties>
</file>